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68ED" w:rsidRDefault="008668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8668ED" w:rsidRDefault="00C672F9">
      <w:pP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 УКРАЇНИ</w:t>
      </w:r>
    </w:p>
    <w:p w:rsidR="008668ED" w:rsidRDefault="00C672F9">
      <w:pP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НАЦІОНАЛЬНИЙ УНІВЕРСИТЕТ “ЗАПОРІЗЬКА ПОЛІТЕХНІКА”</w:t>
      </w:r>
    </w:p>
    <w:p w:rsidR="008668ED" w:rsidRDefault="008668ED">
      <w:pPr>
        <w:spacing w:line="240" w:lineRule="auto"/>
        <w:ind w:left="1" w:hanging="3"/>
        <w:rPr>
          <w:rFonts w:ascii="F1" w:eastAsia="F1" w:hAnsi="F1" w:cs="F1"/>
          <w:sz w:val="28"/>
          <w:szCs w:val="28"/>
        </w:rPr>
      </w:pPr>
    </w:p>
    <w:p w:rsidR="008668ED" w:rsidRDefault="008668ED">
      <w:pPr>
        <w:spacing w:line="240" w:lineRule="auto"/>
        <w:ind w:left="1" w:hanging="3"/>
        <w:rPr>
          <w:rFonts w:ascii="F1" w:eastAsia="F1" w:hAnsi="F1" w:cs="F1"/>
          <w:sz w:val="28"/>
          <w:szCs w:val="28"/>
        </w:rPr>
      </w:pPr>
    </w:p>
    <w:p w:rsidR="008668ED" w:rsidRDefault="008668ED">
      <w:pPr>
        <w:spacing w:line="240" w:lineRule="auto"/>
        <w:ind w:left="1" w:hanging="3"/>
        <w:rPr>
          <w:rFonts w:ascii="F1" w:eastAsia="F1" w:hAnsi="F1" w:cs="F1"/>
          <w:sz w:val="28"/>
          <w:szCs w:val="28"/>
        </w:rPr>
      </w:pPr>
    </w:p>
    <w:p w:rsidR="008668ED" w:rsidRDefault="008668ED">
      <w:pPr>
        <w:spacing w:line="240" w:lineRule="auto"/>
        <w:ind w:left="1" w:hanging="3"/>
        <w:rPr>
          <w:rFonts w:ascii="F1" w:eastAsia="F1" w:hAnsi="F1" w:cs="F1"/>
          <w:sz w:val="28"/>
          <w:szCs w:val="28"/>
        </w:rPr>
      </w:pPr>
    </w:p>
    <w:p w:rsidR="008668ED" w:rsidRDefault="008668ED">
      <w:pPr>
        <w:spacing w:line="240" w:lineRule="auto"/>
        <w:ind w:left="1" w:hanging="3"/>
        <w:rPr>
          <w:rFonts w:ascii="F1" w:eastAsia="F1" w:hAnsi="F1" w:cs="F1"/>
          <w:sz w:val="28"/>
          <w:szCs w:val="28"/>
        </w:rPr>
      </w:pPr>
    </w:p>
    <w:p w:rsidR="008668ED" w:rsidRDefault="008668ED">
      <w:pPr>
        <w:spacing w:line="240" w:lineRule="auto"/>
        <w:ind w:left="1" w:hanging="3"/>
        <w:rPr>
          <w:rFonts w:ascii="F1" w:eastAsia="F1" w:hAnsi="F1" w:cs="F1"/>
          <w:sz w:val="28"/>
          <w:szCs w:val="28"/>
        </w:rPr>
      </w:pPr>
    </w:p>
    <w:p w:rsidR="008668ED" w:rsidRDefault="008668ED">
      <w:pPr>
        <w:spacing w:line="240" w:lineRule="auto"/>
        <w:ind w:left="1" w:hanging="3"/>
        <w:rPr>
          <w:rFonts w:ascii="F1" w:eastAsia="F1" w:hAnsi="F1" w:cs="F1"/>
          <w:sz w:val="28"/>
          <w:szCs w:val="28"/>
        </w:rPr>
      </w:pPr>
    </w:p>
    <w:p w:rsidR="008668ED" w:rsidRDefault="008668ED">
      <w:pPr>
        <w:spacing w:line="240" w:lineRule="auto"/>
        <w:ind w:left="1" w:hanging="3"/>
        <w:rPr>
          <w:rFonts w:ascii="F1" w:eastAsia="F1" w:hAnsi="F1" w:cs="F1"/>
          <w:sz w:val="28"/>
          <w:szCs w:val="28"/>
        </w:rPr>
      </w:pPr>
    </w:p>
    <w:p w:rsidR="008668ED" w:rsidRDefault="00C672F9">
      <w:pP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ОСВІТНЬО – ПРОФЕСІЙНА ПРОГРАМА</w:t>
      </w:r>
    </w:p>
    <w:p w:rsidR="008668ED" w:rsidRDefault="00C672F9">
      <w:pP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i/>
          <w:sz w:val="28"/>
          <w:szCs w:val="28"/>
        </w:rPr>
        <w:t>ПРОМИСЛОВЕ ТА ЦИВІЛЬНЕ БУДІВНИЦТВО</w:t>
      </w:r>
      <w:r>
        <w:rPr>
          <w:b/>
          <w:sz w:val="28"/>
          <w:szCs w:val="28"/>
        </w:rPr>
        <w:t>»</w:t>
      </w:r>
    </w:p>
    <w:p w:rsidR="008668ED" w:rsidRDefault="00C672F9">
      <w:pP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Другого рівня вищої освіти</w:t>
      </w:r>
    </w:p>
    <w:p w:rsidR="008668ED" w:rsidRDefault="00C672F9">
      <w:pP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 спеціальністю </w:t>
      </w:r>
      <w:r>
        <w:rPr>
          <w:i/>
          <w:sz w:val="28"/>
          <w:szCs w:val="28"/>
        </w:rPr>
        <w:t>№ 192 «Будівництво та цивільна інженерія»</w:t>
      </w:r>
      <w:r>
        <w:rPr>
          <w:i/>
          <w:sz w:val="28"/>
          <w:szCs w:val="28"/>
        </w:rPr>
        <w:tab/>
      </w:r>
    </w:p>
    <w:p w:rsidR="008668ED" w:rsidRDefault="00C672F9">
      <w:pPr>
        <w:spacing w:line="240" w:lineRule="auto"/>
        <w:ind w:left="1" w:hanging="3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галузі знань </w:t>
      </w:r>
      <w:r>
        <w:rPr>
          <w:i/>
          <w:sz w:val="28"/>
          <w:szCs w:val="28"/>
        </w:rPr>
        <w:t>№ 19 «Архітектура та будівництво»</w:t>
      </w:r>
    </w:p>
    <w:p w:rsidR="008668ED" w:rsidRDefault="00C672F9">
      <w:pPr>
        <w:spacing w:line="240" w:lineRule="auto"/>
        <w:ind w:left="1" w:hanging="3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Кваліфікація: </w:t>
      </w:r>
      <w:r>
        <w:rPr>
          <w:i/>
          <w:sz w:val="28"/>
          <w:szCs w:val="28"/>
        </w:rPr>
        <w:t>магістр з будівництва та цивільної інженерії</w:t>
      </w:r>
    </w:p>
    <w:p w:rsidR="008668ED" w:rsidRDefault="008668ED">
      <w:pPr>
        <w:spacing w:line="240" w:lineRule="auto"/>
        <w:ind w:left="1" w:hanging="3"/>
        <w:jc w:val="center"/>
        <w:rPr>
          <w:sz w:val="28"/>
          <w:szCs w:val="28"/>
        </w:rPr>
      </w:pPr>
    </w:p>
    <w:p w:rsidR="008668ED" w:rsidRDefault="008668ED">
      <w:pPr>
        <w:spacing w:line="240" w:lineRule="auto"/>
        <w:ind w:left="1" w:hanging="3"/>
        <w:jc w:val="center"/>
        <w:rPr>
          <w:sz w:val="28"/>
          <w:szCs w:val="28"/>
        </w:rPr>
      </w:pPr>
    </w:p>
    <w:p w:rsidR="008668ED" w:rsidRDefault="008668ED">
      <w:pPr>
        <w:spacing w:line="240" w:lineRule="auto"/>
        <w:ind w:left="1" w:hanging="3"/>
        <w:jc w:val="center"/>
        <w:rPr>
          <w:sz w:val="28"/>
          <w:szCs w:val="28"/>
        </w:rPr>
      </w:pPr>
    </w:p>
    <w:p w:rsidR="008668ED" w:rsidRDefault="008668ED">
      <w:pPr>
        <w:spacing w:line="240" w:lineRule="auto"/>
        <w:ind w:left="1" w:hanging="3"/>
        <w:jc w:val="center"/>
        <w:rPr>
          <w:sz w:val="28"/>
          <w:szCs w:val="28"/>
        </w:rPr>
      </w:pPr>
    </w:p>
    <w:p w:rsidR="008668ED" w:rsidRDefault="008668ED">
      <w:pPr>
        <w:spacing w:line="240" w:lineRule="auto"/>
        <w:ind w:left="1" w:hanging="3"/>
        <w:jc w:val="center"/>
        <w:rPr>
          <w:sz w:val="28"/>
          <w:szCs w:val="28"/>
        </w:rPr>
      </w:pPr>
    </w:p>
    <w:p w:rsidR="008668ED" w:rsidRDefault="008668ED">
      <w:pPr>
        <w:spacing w:line="240" w:lineRule="auto"/>
        <w:ind w:left="1" w:hanging="3"/>
        <w:jc w:val="center"/>
        <w:rPr>
          <w:sz w:val="28"/>
          <w:szCs w:val="28"/>
        </w:rPr>
      </w:pPr>
    </w:p>
    <w:p w:rsidR="008668ED" w:rsidRDefault="00C672F9">
      <w:pPr>
        <w:keepNext/>
        <w:spacing w:line="240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8668ED" w:rsidRDefault="00C672F9">
      <w:pPr>
        <w:spacing w:line="240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ЗАТВЕРДЖЕНО ВЧЕНОЮ РАДОЮ*</w:t>
      </w:r>
    </w:p>
    <w:p w:rsidR="008668ED" w:rsidRDefault="00C672F9">
      <w:pPr>
        <w:spacing w:line="240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Голова вченої ради</w:t>
      </w:r>
    </w:p>
    <w:p w:rsidR="008668ED" w:rsidRDefault="00C672F9">
      <w:pPr>
        <w:spacing w:line="240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___________________ /________________/</w:t>
      </w:r>
    </w:p>
    <w:p w:rsidR="008668ED" w:rsidRDefault="00C672F9">
      <w:pPr>
        <w:spacing w:line="240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(протокол № __ від "___"_________ 2022р.)</w:t>
      </w:r>
    </w:p>
    <w:p w:rsidR="008668ED" w:rsidRDefault="008668ED">
      <w:pPr>
        <w:spacing w:line="240" w:lineRule="auto"/>
        <w:ind w:left="1" w:hanging="3"/>
        <w:rPr>
          <w:sz w:val="28"/>
          <w:szCs w:val="28"/>
        </w:rPr>
      </w:pPr>
    </w:p>
    <w:p w:rsidR="008668ED" w:rsidRDefault="008668ED">
      <w:pPr>
        <w:spacing w:line="240" w:lineRule="auto"/>
        <w:ind w:left="1" w:hanging="3"/>
        <w:rPr>
          <w:sz w:val="28"/>
          <w:szCs w:val="28"/>
        </w:rPr>
      </w:pPr>
    </w:p>
    <w:p w:rsidR="008668ED" w:rsidRDefault="00C672F9">
      <w:pPr>
        <w:spacing w:line="240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Освітня програма вводиться в дію з _____2022 р.</w:t>
      </w:r>
    </w:p>
    <w:p w:rsidR="008668ED" w:rsidRDefault="00C672F9">
      <w:pPr>
        <w:spacing w:line="240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Ректор___________________ /____________/</w:t>
      </w:r>
    </w:p>
    <w:p w:rsidR="008668ED" w:rsidRDefault="00C672F9">
      <w:pPr>
        <w:spacing w:line="240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(наказ № __ від "___"_________ 20___ р.)</w:t>
      </w:r>
    </w:p>
    <w:p w:rsidR="008668ED" w:rsidRDefault="008668ED">
      <w:pPr>
        <w:spacing w:line="240" w:lineRule="auto"/>
        <w:ind w:left="1" w:hanging="3"/>
        <w:rPr>
          <w:sz w:val="28"/>
          <w:szCs w:val="28"/>
        </w:rPr>
      </w:pPr>
    </w:p>
    <w:p w:rsidR="008668ED" w:rsidRDefault="008668ED">
      <w:pPr>
        <w:spacing w:line="240" w:lineRule="auto"/>
        <w:ind w:left="1" w:hanging="3"/>
        <w:rPr>
          <w:sz w:val="28"/>
          <w:szCs w:val="28"/>
        </w:rPr>
      </w:pPr>
    </w:p>
    <w:p w:rsidR="008668ED" w:rsidRDefault="008668ED">
      <w:pPr>
        <w:spacing w:line="240" w:lineRule="auto"/>
        <w:ind w:left="1" w:hanging="3"/>
        <w:rPr>
          <w:sz w:val="28"/>
          <w:szCs w:val="28"/>
        </w:rPr>
      </w:pPr>
    </w:p>
    <w:p w:rsidR="008668ED" w:rsidRDefault="008668ED">
      <w:pPr>
        <w:spacing w:line="240" w:lineRule="auto"/>
        <w:ind w:left="1" w:hanging="3"/>
        <w:jc w:val="center"/>
        <w:rPr>
          <w:sz w:val="28"/>
          <w:szCs w:val="28"/>
        </w:rPr>
      </w:pPr>
    </w:p>
    <w:p w:rsidR="008668ED" w:rsidRDefault="008668ED">
      <w:pPr>
        <w:spacing w:line="240" w:lineRule="auto"/>
        <w:ind w:left="1" w:hanging="3"/>
        <w:jc w:val="center"/>
        <w:rPr>
          <w:sz w:val="28"/>
          <w:szCs w:val="28"/>
        </w:rPr>
      </w:pPr>
    </w:p>
    <w:p w:rsidR="008668ED" w:rsidRDefault="008668ED">
      <w:pPr>
        <w:spacing w:line="240" w:lineRule="auto"/>
        <w:ind w:left="1" w:hanging="3"/>
        <w:jc w:val="center"/>
        <w:rPr>
          <w:sz w:val="28"/>
          <w:szCs w:val="28"/>
        </w:rPr>
      </w:pPr>
    </w:p>
    <w:p w:rsidR="008668ED" w:rsidRDefault="008668ED">
      <w:pPr>
        <w:spacing w:line="240" w:lineRule="auto"/>
        <w:ind w:left="1" w:hanging="3"/>
        <w:jc w:val="center"/>
        <w:rPr>
          <w:sz w:val="28"/>
          <w:szCs w:val="28"/>
        </w:rPr>
      </w:pPr>
    </w:p>
    <w:p w:rsidR="008668ED" w:rsidRDefault="00C672F9">
      <w:pP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Запоріжжя 202</w:t>
      </w:r>
      <w:r w:rsidR="003002E1">
        <w:rPr>
          <w:b/>
          <w:sz w:val="28"/>
          <w:szCs w:val="28"/>
        </w:rPr>
        <w:t>2</w:t>
      </w:r>
    </w:p>
    <w:p w:rsidR="008668ED" w:rsidRDefault="008668ED">
      <w:pPr>
        <w:spacing w:line="240" w:lineRule="auto"/>
        <w:ind w:left="1" w:hanging="3"/>
        <w:rPr>
          <w:sz w:val="28"/>
          <w:szCs w:val="28"/>
        </w:rPr>
      </w:pPr>
    </w:p>
    <w:p w:rsidR="008668ED" w:rsidRDefault="00C672F9">
      <w:pPr>
        <w:spacing w:line="240" w:lineRule="auto"/>
        <w:ind w:left="0" w:hanging="2"/>
        <w:jc w:val="right"/>
        <w:rPr>
          <w:sz w:val="28"/>
          <w:szCs w:val="28"/>
        </w:rPr>
      </w:pPr>
      <w:r>
        <w:br w:type="page"/>
      </w:r>
    </w:p>
    <w:p w:rsidR="008668ED" w:rsidRDefault="00C672F9">
      <w:pPr>
        <w:spacing w:line="36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ПЕРЕДМОВА</w:t>
      </w:r>
    </w:p>
    <w:p w:rsidR="008668ED" w:rsidRDefault="008668ED">
      <w:pPr>
        <w:tabs>
          <w:tab w:val="left" w:pos="5103"/>
        </w:tabs>
        <w:spacing w:line="240" w:lineRule="auto"/>
        <w:ind w:left="1" w:hanging="3"/>
        <w:rPr>
          <w:sz w:val="28"/>
          <w:szCs w:val="28"/>
        </w:rPr>
      </w:pPr>
    </w:p>
    <w:p w:rsidR="008668ED" w:rsidRDefault="00C672F9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Освітньо-професійна програма (ОПП) «Промислове та цивільне будівництво» підготовки магістра зі спеціальності </w:t>
      </w:r>
      <w:r>
        <w:rPr>
          <w:sz w:val="28"/>
          <w:szCs w:val="28"/>
          <w:u w:val="single"/>
        </w:rPr>
        <w:t>192</w:t>
      </w:r>
      <w:r>
        <w:rPr>
          <w:sz w:val="28"/>
          <w:szCs w:val="28"/>
        </w:rPr>
        <w:t xml:space="preserve"> «Будівництво та цивільна інженерія» випускника НУ «Запорізька політехніка» є нормативним документом, в якому узагальнюється зміст освіти, тобто, відображаються цілі освітньої та професійної підготовки, визначається місце фахівця в структурі господарства держави і вимоги до його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 xml:space="preserve"> та інших соціально важливих властивостей і якостей.</w:t>
      </w:r>
    </w:p>
    <w:p w:rsidR="008668ED" w:rsidRDefault="008668ED">
      <w:pPr>
        <w:spacing w:line="240" w:lineRule="auto"/>
        <w:ind w:left="1" w:hanging="3"/>
        <w:jc w:val="both"/>
        <w:rPr>
          <w:sz w:val="28"/>
          <w:szCs w:val="28"/>
        </w:rPr>
      </w:pPr>
    </w:p>
    <w:p w:rsidR="008668ED" w:rsidRDefault="00C672F9">
      <w:pPr>
        <w:spacing w:after="120"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Програму розроблено групою у складі:</w:t>
      </w:r>
    </w:p>
    <w:p w:rsidR="008668ED" w:rsidRDefault="003002E1" w:rsidP="00C672F9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002E1">
        <w:rPr>
          <w:sz w:val="28"/>
          <w:szCs w:val="28"/>
        </w:rPr>
        <w:t xml:space="preserve">Назаренко Олексій Миколайович – член групи, </w:t>
      </w:r>
      <w:proofErr w:type="spellStart"/>
      <w:r w:rsidRPr="003002E1">
        <w:rPr>
          <w:sz w:val="28"/>
          <w:szCs w:val="28"/>
        </w:rPr>
        <w:t>к.т.н</w:t>
      </w:r>
      <w:proofErr w:type="spellEnd"/>
      <w:r w:rsidRPr="003002E1">
        <w:rPr>
          <w:sz w:val="28"/>
          <w:szCs w:val="28"/>
        </w:rPr>
        <w:t xml:space="preserve">., доцент, </w:t>
      </w:r>
      <w:proofErr w:type="spellStart"/>
      <w:r w:rsidRPr="003002E1">
        <w:rPr>
          <w:sz w:val="28"/>
          <w:szCs w:val="28"/>
        </w:rPr>
        <w:t>в.о</w:t>
      </w:r>
      <w:proofErr w:type="spellEnd"/>
      <w:r w:rsidRPr="003002E1">
        <w:rPr>
          <w:sz w:val="28"/>
          <w:szCs w:val="28"/>
        </w:rPr>
        <w:t xml:space="preserve">. завідувача, доцент кафедри «Будівельного виробництва та управління проектами» Національного університету «Запорізька політехніка» </w:t>
      </w:r>
      <w:r w:rsidR="00C672F9">
        <w:rPr>
          <w:sz w:val="28"/>
          <w:szCs w:val="28"/>
        </w:rPr>
        <w:t>(гарант освітньої програми наказ від 15.07.2021 р. № 269 про призначення гарантів);</w:t>
      </w:r>
    </w:p>
    <w:p w:rsidR="00B27F2A" w:rsidRDefault="008E2848" w:rsidP="00B27F2A">
      <w:pPr>
        <w:spacing w:line="240" w:lineRule="auto"/>
        <w:ind w:leftChars="0" w:left="0" w:firstLineChars="0" w:hanging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8E2848">
        <w:rPr>
          <w:sz w:val="28"/>
          <w:szCs w:val="28"/>
        </w:rPr>
        <w:t>Жван</w:t>
      </w:r>
      <w:proofErr w:type="spellEnd"/>
      <w:r w:rsidRPr="008E2848">
        <w:rPr>
          <w:sz w:val="28"/>
          <w:szCs w:val="28"/>
        </w:rPr>
        <w:t xml:space="preserve"> Віктор Денисович – </w:t>
      </w:r>
      <w:r w:rsidR="00B27F2A">
        <w:rPr>
          <w:sz w:val="28"/>
          <w:szCs w:val="28"/>
        </w:rPr>
        <w:t xml:space="preserve">член групи, </w:t>
      </w:r>
      <w:proofErr w:type="spellStart"/>
      <w:r w:rsidR="00B27F2A">
        <w:rPr>
          <w:sz w:val="28"/>
          <w:szCs w:val="28"/>
        </w:rPr>
        <w:t>к.т.н</w:t>
      </w:r>
      <w:proofErr w:type="spellEnd"/>
      <w:r w:rsidR="00B27F2A">
        <w:rPr>
          <w:sz w:val="28"/>
          <w:szCs w:val="28"/>
        </w:rPr>
        <w:t xml:space="preserve">., професор, </w:t>
      </w:r>
      <w:proofErr w:type="spellStart"/>
      <w:r w:rsidRPr="008E2848">
        <w:rPr>
          <w:sz w:val="28"/>
          <w:szCs w:val="28"/>
        </w:rPr>
        <w:t>професор</w:t>
      </w:r>
      <w:proofErr w:type="spellEnd"/>
      <w:r w:rsidRPr="008E2848">
        <w:rPr>
          <w:sz w:val="28"/>
          <w:szCs w:val="28"/>
        </w:rPr>
        <w:t xml:space="preserve"> кафедри </w:t>
      </w:r>
      <w:r w:rsidR="00B27F2A">
        <w:rPr>
          <w:sz w:val="28"/>
          <w:szCs w:val="28"/>
        </w:rPr>
        <w:t>«Будівельного виробництва та управління проектами»</w:t>
      </w:r>
      <w:r w:rsidRPr="008E2848">
        <w:rPr>
          <w:sz w:val="28"/>
          <w:szCs w:val="28"/>
        </w:rPr>
        <w:t xml:space="preserve">, </w:t>
      </w:r>
      <w:r w:rsidR="00B27F2A">
        <w:rPr>
          <w:sz w:val="28"/>
          <w:szCs w:val="28"/>
        </w:rPr>
        <w:t>Національного університету «Запорізька політехніка».</w:t>
      </w:r>
    </w:p>
    <w:p w:rsidR="008E2848" w:rsidRPr="008E2848" w:rsidRDefault="003002E1" w:rsidP="00B27F2A">
      <w:pPr>
        <w:spacing w:line="240" w:lineRule="auto"/>
        <w:ind w:leftChars="0" w:left="0" w:firstLineChars="0" w:hanging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8E2848" w:rsidRPr="008E2848">
        <w:rPr>
          <w:sz w:val="28"/>
          <w:szCs w:val="28"/>
        </w:rPr>
        <w:t>Кулік</w:t>
      </w:r>
      <w:proofErr w:type="spellEnd"/>
      <w:r w:rsidR="008E2848" w:rsidRPr="008E2848">
        <w:rPr>
          <w:sz w:val="28"/>
          <w:szCs w:val="28"/>
        </w:rPr>
        <w:t xml:space="preserve"> Михайло Валерійович – член групи, </w:t>
      </w:r>
      <w:proofErr w:type="spellStart"/>
      <w:r w:rsidR="008E2848" w:rsidRPr="008E2848">
        <w:rPr>
          <w:sz w:val="28"/>
          <w:szCs w:val="28"/>
        </w:rPr>
        <w:t>к.т.н</w:t>
      </w:r>
      <w:proofErr w:type="spellEnd"/>
      <w:r w:rsidR="008E2848" w:rsidRPr="008E2848">
        <w:rPr>
          <w:sz w:val="28"/>
          <w:szCs w:val="28"/>
        </w:rPr>
        <w:t xml:space="preserve">., доцент, </w:t>
      </w:r>
      <w:proofErr w:type="spellStart"/>
      <w:r w:rsidR="008E2848" w:rsidRPr="008E2848">
        <w:rPr>
          <w:sz w:val="28"/>
          <w:szCs w:val="28"/>
        </w:rPr>
        <w:t>доцент</w:t>
      </w:r>
      <w:proofErr w:type="spellEnd"/>
      <w:r w:rsidR="008E2848" w:rsidRPr="008E2848">
        <w:rPr>
          <w:sz w:val="28"/>
          <w:szCs w:val="28"/>
        </w:rPr>
        <w:t xml:space="preserve"> кафедри «Будівельного виробництва та управління проектами» Національного університету «Запорізька політехніка».</w:t>
      </w:r>
    </w:p>
    <w:p w:rsidR="008E2848" w:rsidRDefault="003002E1" w:rsidP="008E2848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E2848" w:rsidRPr="008E2848">
        <w:rPr>
          <w:sz w:val="28"/>
          <w:szCs w:val="28"/>
        </w:rPr>
        <w:t>Іщенко Олексій Сергійович – член групи, старший викладач кафедри «Будівельного виробництва та управління проектами» Національного університету «Запорізька політехніка».</w:t>
      </w:r>
    </w:p>
    <w:p w:rsidR="008668ED" w:rsidRDefault="00C672F9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68ED" w:rsidRDefault="00C672F9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Розроблено ОПП на основі </w:t>
      </w:r>
      <w:proofErr w:type="spellStart"/>
      <w:r>
        <w:rPr>
          <w:sz w:val="28"/>
          <w:szCs w:val="28"/>
        </w:rPr>
        <w:t>проекта</w:t>
      </w:r>
      <w:proofErr w:type="spellEnd"/>
      <w:r>
        <w:rPr>
          <w:sz w:val="28"/>
          <w:szCs w:val="28"/>
        </w:rPr>
        <w:t xml:space="preserve"> стандарту вищої освіти за спеціальністю 192 «Будівництво та цивільна інженерія» галузі знань 19 «Архітектура та будівництво» для </w:t>
      </w:r>
      <w:r>
        <w:rPr>
          <w:sz w:val="28"/>
          <w:szCs w:val="28"/>
          <w:u w:val="single"/>
        </w:rPr>
        <w:t>другого (магістерського)</w:t>
      </w:r>
      <w:r>
        <w:rPr>
          <w:sz w:val="28"/>
          <w:szCs w:val="28"/>
        </w:rPr>
        <w:t xml:space="preserve"> рівня вищої освіти.</w:t>
      </w:r>
    </w:p>
    <w:p w:rsidR="008668ED" w:rsidRDefault="008668ED">
      <w:pPr>
        <w:spacing w:line="240" w:lineRule="auto"/>
        <w:ind w:left="1" w:hanging="3"/>
        <w:jc w:val="both"/>
        <w:rPr>
          <w:sz w:val="28"/>
          <w:szCs w:val="28"/>
        </w:rPr>
      </w:pPr>
    </w:p>
    <w:p w:rsidR="008668ED" w:rsidRDefault="00C672F9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Після надходження побажань, пропозицій та зауважень щодо вдосконалення ОПП від здобувачів вищої освіти, представників академічної спільноти та роботодавців проекту ОПП обговорено та схвалено на засіданні </w:t>
      </w:r>
      <w:r w:rsidR="006D0227">
        <w:rPr>
          <w:sz w:val="28"/>
          <w:szCs w:val="28"/>
        </w:rPr>
        <w:t xml:space="preserve">робочої групи </w:t>
      </w:r>
      <w:r>
        <w:rPr>
          <w:sz w:val="28"/>
          <w:szCs w:val="28"/>
        </w:rPr>
        <w:t>кафедри «Будівельного виробництва та управління проектами» (протокол від «</w:t>
      </w:r>
      <w:r w:rsidR="006D0227">
        <w:rPr>
          <w:sz w:val="28"/>
          <w:szCs w:val="28"/>
        </w:rPr>
        <w:t>2</w:t>
      </w:r>
      <w:r w:rsidR="00C01B9D">
        <w:rPr>
          <w:sz w:val="28"/>
          <w:szCs w:val="28"/>
        </w:rPr>
        <w:t>5</w:t>
      </w:r>
      <w:bookmarkStart w:id="0" w:name="_GoBack"/>
      <w:bookmarkEnd w:id="0"/>
      <w:r w:rsidRPr="006D0227">
        <w:rPr>
          <w:sz w:val="28"/>
          <w:szCs w:val="28"/>
        </w:rPr>
        <w:t>.</w:t>
      </w:r>
      <w:r w:rsidR="006D0227">
        <w:rPr>
          <w:sz w:val="28"/>
          <w:szCs w:val="28"/>
        </w:rPr>
        <w:t>07</w:t>
      </w:r>
      <w:r w:rsidRPr="006D0227">
        <w:rPr>
          <w:sz w:val="28"/>
          <w:szCs w:val="28"/>
        </w:rPr>
        <w:t>.</w:t>
      </w:r>
      <w:r w:rsidR="008E2848">
        <w:rPr>
          <w:sz w:val="28"/>
          <w:szCs w:val="28"/>
        </w:rPr>
        <w:t>2022</w:t>
      </w:r>
      <w:r w:rsidRPr="008E2848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№</w:t>
      </w:r>
      <w:r w:rsidR="006D0227">
        <w:rPr>
          <w:sz w:val="28"/>
          <w:szCs w:val="28"/>
        </w:rPr>
        <w:t>2</w:t>
      </w:r>
      <w:r>
        <w:rPr>
          <w:sz w:val="28"/>
          <w:szCs w:val="28"/>
        </w:rPr>
        <w:t>).</w:t>
      </w:r>
      <w:r>
        <w:br w:type="page"/>
      </w:r>
    </w:p>
    <w:p w:rsidR="008668ED" w:rsidRDefault="00C672F9">
      <w:pPr>
        <w:spacing w:line="240" w:lineRule="auto"/>
        <w:ind w:left="0" w:hanging="2"/>
        <w:jc w:val="center"/>
      </w:pPr>
      <w:r>
        <w:rPr>
          <w:b/>
        </w:rPr>
        <w:lastRenderedPageBreak/>
        <w:t>1. Профіль освітньо-професійної програми</w:t>
      </w:r>
    </w:p>
    <w:tbl>
      <w:tblPr>
        <w:tblStyle w:val="af8"/>
        <w:tblW w:w="98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4"/>
        <w:gridCol w:w="6807"/>
      </w:tblGrid>
      <w:tr w:rsidR="008668ED">
        <w:tc>
          <w:tcPr>
            <w:tcW w:w="9851" w:type="dxa"/>
            <w:gridSpan w:val="2"/>
            <w:shd w:val="clear" w:color="auto" w:fill="D9D9D9"/>
          </w:tcPr>
          <w:p w:rsidR="008668ED" w:rsidRDefault="00C672F9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1.1 – Загальна інформація</w:t>
            </w:r>
          </w:p>
        </w:tc>
      </w:tr>
      <w:tr w:rsidR="008668ED">
        <w:tc>
          <w:tcPr>
            <w:tcW w:w="3044" w:type="dxa"/>
          </w:tcPr>
          <w:p w:rsidR="008668ED" w:rsidRDefault="00C672F9">
            <w:pPr>
              <w:spacing w:line="240" w:lineRule="auto"/>
              <w:ind w:left="0" w:hanging="2"/>
              <w:rPr>
                <w:sz w:val="36"/>
                <w:szCs w:val="36"/>
              </w:rPr>
            </w:pPr>
            <w:r>
              <w:rPr>
                <w:b/>
              </w:rPr>
              <w:t>Повна назва закладу вищої освіти, факультету та кафедри</w:t>
            </w:r>
          </w:p>
        </w:tc>
        <w:tc>
          <w:tcPr>
            <w:tcW w:w="6807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t>Національний університет “Запорізька політехніка”,</w:t>
            </w:r>
          </w:p>
          <w:p w:rsidR="008668ED" w:rsidRDefault="00C672F9">
            <w:pPr>
              <w:spacing w:line="240" w:lineRule="auto"/>
              <w:ind w:left="0" w:hanging="2"/>
            </w:pPr>
            <w:r>
              <w:t>Факультет, будівництва, архітектури та дизайну</w:t>
            </w:r>
          </w:p>
          <w:p w:rsidR="008668ED" w:rsidRDefault="00C672F9">
            <w:pPr>
              <w:spacing w:line="240" w:lineRule="auto"/>
              <w:ind w:left="0" w:hanging="2"/>
              <w:rPr>
                <w:sz w:val="36"/>
                <w:szCs w:val="36"/>
              </w:rPr>
            </w:pPr>
            <w:r>
              <w:t>Кафедра "будівельного виробництва та управління проектами".</w:t>
            </w:r>
          </w:p>
        </w:tc>
      </w:tr>
      <w:tr w:rsidR="008668ED">
        <w:tc>
          <w:tcPr>
            <w:tcW w:w="3044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t>Ступінь вищої освіти та назва кваліфікації мовою оригіналу</w:t>
            </w:r>
          </w:p>
        </w:tc>
        <w:tc>
          <w:tcPr>
            <w:tcW w:w="6807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t>Другий (магістерський) рівень</w:t>
            </w:r>
          </w:p>
          <w:p w:rsidR="008668ED" w:rsidRDefault="00C672F9">
            <w:pPr>
              <w:spacing w:line="240" w:lineRule="auto"/>
              <w:ind w:left="0" w:hanging="2"/>
              <w:rPr>
                <w:sz w:val="36"/>
                <w:szCs w:val="36"/>
              </w:rPr>
            </w:pPr>
            <w:r>
              <w:t>Магістр з будівництва та цивільної інженерії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8668ED">
        <w:tc>
          <w:tcPr>
            <w:tcW w:w="3044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t>Офіційна назва освітньої програми</w:t>
            </w:r>
          </w:p>
        </w:tc>
        <w:tc>
          <w:tcPr>
            <w:tcW w:w="6807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t>Промислове та цивільне будівництво</w:t>
            </w:r>
          </w:p>
        </w:tc>
      </w:tr>
      <w:tr w:rsidR="008668ED">
        <w:tc>
          <w:tcPr>
            <w:tcW w:w="3044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t xml:space="preserve">Тип диплому та обсяг освітньої програми </w:t>
            </w:r>
          </w:p>
        </w:tc>
        <w:tc>
          <w:tcPr>
            <w:tcW w:w="6807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t>Диплом магістра, одиничний, 90 кредитів ЄКТС,</w:t>
            </w:r>
          </w:p>
          <w:p w:rsidR="008668ED" w:rsidRDefault="00C672F9">
            <w:pPr>
              <w:spacing w:line="240" w:lineRule="auto"/>
              <w:ind w:left="0" w:hanging="2"/>
            </w:pPr>
            <w:r>
              <w:t xml:space="preserve">термін навчання 1,5 роки </w:t>
            </w:r>
          </w:p>
        </w:tc>
      </w:tr>
      <w:tr w:rsidR="008668ED">
        <w:tc>
          <w:tcPr>
            <w:tcW w:w="3044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t>Наявність акредитації</w:t>
            </w:r>
          </w:p>
        </w:tc>
        <w:tc>
          <w:tcPr>
            <w:tcW w:w="6807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t>Сертифікат про акредитацію спеціальності УД 08011799, дійсний до 01.07.2021</w:t>
            </w:r>
          </w:p>
        </w:tc>
      </w:tr>
      <w:tr w:rsidR="008668ED">
        <w:tc>
          <w:tcPr>
            <w:tcW w:w="3044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t>Цикл/рівень</w:t>
            </w:r>
          </w:p>
        </w:tc>
        <w:tc>
          <w:tcPr>
            <w:tcW w:w="6807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t xml:space="preserve">QF </w:t>
            </w:r>
            <w:proofErr w:type="spellStart"/>
            <w:r>
              <w:t>for</w:t>
            </w:r>
            <w:proofErr w:type="spellEnd"/>
            <w:r>
              <w:t xml:space="preserve"> EHEA – другий цикл, EQF </w:t>
            </w:r>
            <w:proofErr w:type="spellStart"/>
            <w:r>
              <w:t>for</w:t>
            </w:r>
            <w:proofErr w:type="spellEnd"/>
            <w:r>
              <w:t xml:space="preserve"> LLL – 7 рівень; </w:t>
            </w:r>
          </w:p>
          <w:p w:rsidR="008668ED" w:rsidRDefault="00C672F9">
            <w:pPr>
              <w:spacing w:line="240" w:lineRule="auto"/>
              <w:ind w:left="0" w:hanging="2"/>
            </w:pPr>
            <w:r>
              <w:t>Національна рамка кваліфікацій України – 7 рівень.</w:t>
            </w:r>
          </w:p>
        </w:tc>
      </w:tr>
      <w:tr w:rsidR="008668ED">
        <w:tc>
          <w:tcPr>
            <w:tcW w:w="3044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t>Передумови</w:t>
            </w:r>
          </w:p>
        </w:tc>
        <w:tc>
          <w:tcPr>
            <w:tcW w:w="6807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t>Наявність ступеня бакалавра, магістра, освітнього кваліфікаційного рівня спеціаліста.</w:t>
            </w:r>
          </w:p>
        </w:tc>
      </w:tr>
      <w:tr w:rsidR="008668ED">
        <w:tc>
          <w:tcPr>
            <w:tcW w:w="3044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t>Мова(и) викладання</w:t>
            </w:r>
          </w:p>
          <w:p w:rsidR="008668ED" w:rsidRDefault="008668ED">
            <w:pPr>
              <w:spacing w:line="240" w:lineRule="auto"/>
              <w:ind w:left="0" w:hanging="2"/>
            </w:pPr>
          </w:p>
        </w:tc>
        <w:tc>
          <w:tcPr>
            <w:tcW w:w="6807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t>Українська</w:t>
            </w:r>
          </w:p>
        </w:tc>
      </w:tr>
      <w:tr w:rsidR="008668ED">
        <w:tc>
          <w:tcPr>
            <w:tcW w:w="3044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t>Термін дії освітньої програми</w:t>
            </w:r>
          </w:p>
        </w:tc>
        <w:tc>
          <w:tcPr>
            <w:tcW w:w="6807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t>До введення в дію наступної редакції</w:t>
            </w:r>
          </w:p>
        </w:tc>
      </w:tr>
      <w:tr w:rsidR="008668ED">
        <w:tc>
          <w:tcPr>
            <w:tcW w:w="3044" w:type="dxa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Інтернет-адреса</w:t>
            </w:r>
            <w:proofErr w:type="spellEnd"/>
            <w:r>
              <w:rPr>
                <w:b/>
              </w:rPr>
              <w:t xml:space="preserve"> постійного</w:t>
            </w:r>
          </w:p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t>розміщення опису освітньої програми</w:t>
            </w:r>
          </w:p>
        </w:tc>
        <w:tc>
          <w:tcPr>
            <w:tcW w:w="6807" w:type="dxa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</w:pPr>
            <w:r>
              <w:t>https://zp.edu.ua/</w:t>
            </w:r>
          </w:p>
          <w:p w:rsidR="008668ED" w:rsidRDefault="008668ED">
            <w:pPr>
              <w:spacing w:line="240" w:lineRule="auto"/>
              <w:ind w:left="0" w:hanging="2"/>
            </w:pPr>
          </w:p>
        </w:tc>
      </w:tr>
      <w:tr w:rsidR="008668ED">
        <w:tc>
          <w:tcPr>
            <w:tcW w:w="9851" w:type="dxa"/>
            <w:gridSpan w:val="2"/>
            <w:shd w:val="clear" w:color="auto" w:fill="D9D9D9"/>
          </w:tcPr>
          <w:p w:rsidR="008668ED" w:rsidRDefault="00C672F9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1.2 – Мета освітньої програми</w:t>
            </w:r>
          </w:p>
        </w:tc>
      </w:tr>
      <w:tr w:rsidR="008668ED">
        <w:tc>
          <w:tcPr>
            <w:tcW w:w="9851" w:type="dxa"/>
            <w:gridSpan w:val="2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 xml:space="preserve">Забезпечити, на основі ступеня бакалавра, підготовку професійних кадрів у сфері будівництва та цивільної інженерії шляхом здобуття ними </w:t>
            </w:r>
            <w:proofErr w:type="spellStart"/>
            <w:r>
              <w:t>компетентностей</w:t>
            </w:r>
            <w:proofErr w:type="spellEnd"/>
            <w:r>
              <w:t>, достатніх для розв’язання комплексних задач в галузі проектування, зведення, експлуатації, діагностики та реконструкції будівель і споруд, інженерного забезпечення та обладнання будівельних об’єктів, проведення наукових досліджень.</w:t>
            </w:r>
          </w:p>
        </w:tc>
      </w:tr>
      <w:tr w:rsidR="008668ED">
        <w:tc>
          <w:tcPr>
            <w:tcW w:w="9851" w:type="dxa"/>
            <w:gridSpan w:val="2"/>
            <w:shd w:val="clear" w:color="auto" w:fill="D9D9D9"/>
          </w:tcPr>
          <w:p w:rsidR="008668ED" w:rsidRDefault="00C672F9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1.3 - Характеристика освітньої програми</w:t>
            </w:r>
          </w:p>
        </w:tc>
      </w:tr>
      <w:tr w:rsidR="008668ED">
        <w:tc>
          <w:tcPr>
            <w:tcW w:w="3044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t>Предметна область (галузь</w:t>
            </w:r>
          </w:p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t>знань, спеціальність,</w:t>
            </w:r>
          </w:p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t>спеціалізація (за наявності))</w:t>
            </w:r>
          </w:p>
        </w:tc>
        <w:tc>
          <w:tcPr>
            <w:tcW w:w="6807" w:type="dxa"/>
          </w:tcPr>
          <w:p w:rsidR="008668ED" w:rsidRDefault="00C672F9">
            <w:pPr>
              <w:spacing w:line="228" w:lineRule="auto"/>
              <w:ind w:left="0" w:hanging="2"/>
              <w:jc w:val="both"/>
            </w:pPr>
            <w:r>
              <w:rPr>
                <w:i/>
              </w:rPr>
              <w:t>Об'єкти вивчення</w:t>
            </w:r>
            <w:r>
              <w:t>: наукові основи, технології, об’єкти, споруди та обладнання, процеси проектування, створення, експлуатації, зберігання і реконструкції будівельних об’єктів та інженерних систем.</w:t>
            </w:r>
          </w:p>
          <w:p w:rsidR="008668ED" w:rsidRDefault="00C672F9">
            <w:pPr>
              <w:spacing w:line="228" w:lineRule="auto"/>
              <w:ind w:left="0" w:hanging="2"/>
              <w:jc w:val="both"/>
            </w:pPr>
            <w:r>
              <w:rPr>
                <w:i/>
              </w:rPr>
              <w:t>Мета навчання</w:t>
            </w:r>
            <w:r>
              <w:t>: формування у здобувачів вищої освіти комплексу знань, умінь та навичок для розв’язування складних інженерно-технічних та/або науково-дослідних задач і проблем та вирішувати практичні питання у сфері будівництва та цивільної інженерії.</w:t>
            </w:r>
          </w:p>
          <w:p w:rsidR="008668ED" w:rsidRDefault="00C672F9">
            <w:pPr>
              <w:spacing w:line="228" w:lineRule="auto"/>
              <w:ind w:left="0" w:hanging="2"/>
              <w:jc w:val="both"/>
            </w:pPr>
            <w:r>
              <w:rPr>
                <w:i/>
              </w:rPr>
              <w:t>Теоретичний зміст предметної област</w:t>
            </w:r>
            <w:r>
              <w:t>і: поняття, концепції, принципи, способи та методи створення та утримання будівельних об'єктів та інженерних систем.</w:t>
            </w:r>
          </w:p>
          <w:p w:rsidR="008668ED" w:rsidRDefault="00C672F9">
            <w:pPr>
              <w:spacing w:line="228" w:lineRule="auto"/>
              <w:ind w:left="0" w:hanging="2"/>
              <w:jc w:val="both"/>
            </w:pPr>
            <w:r>
              <w:rPr>
                <w:i/>
              </w:rPr>
              <w:t>Методи, методики та технологи</w:t>
            </w:r>
            <w:r>
              <w:t>: вишукування, експериментальні методи досліджень матеріалів і процесів, методи моделювання, спеціальні методи, технології в будівництві та цивільній інженерії.</w:t>
            </w:r>
          </w:p>
          <w:p w:rsidR="008668ED" w:rsidRDefault="00C672F9">
            <w:pPr>
              <w:spacing w:line="228" w:lineRule="auto"/>
              <w:ind w:left="0" w:hanging="2"/>
              <w:jc w:val="both"/>
            </w:pPr>
            <w:r>
              <w:rPr>
                <w:i/>
              </w:rPr>
              <w:t>Інструменти та обладнання</w:t>
            </w:r>
            <w:r>
              <w:t xml:space="preserve">: </w:t>
            </w:r>
            <w:proofErr w:type="spellStart"/>
            <w:r>
              <w:t>експериментально-</w:t>
            </w:r>
            <w:proofErr w:type="spellEnd"/>
            <w:r>
              <w:t xml:space="preserve"> вимірювальне обладнання, устаткування та програмне забезпечення, необхідне для натурних, лабораторних та дистанційних досліджень у будівництві та цивільній інженерії.</w:t>
            </w:r>
          </w:p>
        </w:tc>
      </w:tr>
      <w:tr w:rsidR="008668ED">
        <w:tc>
          <w:tcPr>
            <w:tcW w:w="3044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lastRenderedPageBreak/>
              <w:t>Орієнтація освітньої програми</w:t>
            </w:r>
          </w:p>
        </w:tc>
        <w:tc>
          <w:tcPr>
            <w:tcW w:w="6807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t xml:space="preserve">Освітньо-професійна </w:t>
            </w:r>
          </w:p>
          <w:p w:rsidR="008668ED" w:rsidRDefault="008668ED">
            <w:pPr>
              <w:spacing w:line="240" w:lineRule="auto"/>
              <w:ind w:left="0" w:hanging="2"/>
            </w:pPr>
          </w:p>
        </w:tc>
      </w:tr>
      <w:tr w:rsidR="008668ED">
        <w:tc>
          <w:tcPr>
            <w:tcW w:w="3044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t>Основний фокус освітньої</w:t>
            </w:r>
          </w:p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t>програми та спеціалізації</w:t>
            </w:r>
          </w:p>
        </w:tc>
        <w:tc>
          <w:tcPr>
            <w:tcW w:w="6807" w:type="dxa"/>
            <w:vAlign w:val="center"/>
          </w:tcPr>
          <w:p w:rsidR="008668ED" w:rsidRDefault="00C672F9">
            <w:pPr>
              <w:spacing w:line="240" w:lineRule="auto"/>
              <w:ind w:left="0" w:hanging="2"/>
            </w:pPr>
            <w:r>
              <w:t>Промислове та цивільне будівництво</w:t>
            </w:r>
          </w:p>
        </w:tc>
      </w:tr>
      <w:tr w:rsidR="008668ED">
        <w:tc>
          <w:tcPr>
            <w:tcW w:w="3044" w:type="dxa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t>Особливості програми</w:t>
            </w:r>
          </w:p>
        </w:tc>
        <w:tc>
          <w:tcPr>
            <w:tcW w:w="6807" w:type="dxa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Програма враховує сучасні тенденції розвитку будівельної галузі та охоплює дисципліни, які передбачають поєднання теоретичних знань з практичними вміннями та навичками майбутньої професійної діяльності. За рахунок вибіркової складової формується індивідуальна траєкторія здобувача в таких напрямках: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tab/>
              <w:t>поглиблення знань з теорії, практики та інноваційних технологій з управління будівельними проектами;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tab/>
              <w:t xml:space="preserve">використання енергозберігаючих технологій та сучасних </w:t>
            </w:r>
            <w:proofErr w:type="spellStart"/>
            <w:r>
              <w:t>енергоефективних</w:t>
            </w:r>
            <w:proofErr w:type="spellEnd"/>
            <w:r>
              <w:t xml:space="preserve"> матеріалів і конструкцій в будівництві;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-</w:t>
            </w:r>
            <w:r>
              <w:tab/>
              <w:t>поглиблення знань з технологічно-організаційних рішень улаштування інженерних мереж.</w:t>
            </w:r>
          </w:p>
        </w:tc>
      </w:tr>
      <w:tr w:rsidR="008668ED">
        <w:tc>
          <w:tcPr>
            <w:tcW w:w="9851" w:type="dxa"/>
            <w:gridSpan w:val="2"/>
            <w:shd w:val="clear" w:color="auto" w:fill="D9D9D9"/>
          </w:tcPr>
          <w:p w:rsidR="008668ED" w:rsidRDefault="00C672F9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1.4 – Придатність випускників до працевлаштування та подальшого навчання</w:t>
            </w:r>
          </w:p>
        </w:tc>
      </w:tr>
      <w:tr w:rsidR="008668ED">
        <w:tc>
          <w:tcPr>
            <w:tcW w:w="3044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t>Придатність до працевлаштування</w:t>
            </w:r>
          </w:p>
        </w:tc>
        <w:tc>
          <w:tcPr>
            <w:tcW w:w="6807" w:type="dxa"/>
          </w:tcPr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Область професійної діяльності — створення об’єктів у галузі будівництва та цивільної інженерії, що включає проектування, будівництво (нове будівництво, реконструкцію, реставрацію, капітальний ремонт) та експлуатацію об’єктів.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Випускники можуть працювати на первинних посадах, за професіями, які визначені Національним класифікатором України: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Класифікатор професій (ДК 003:2010):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2142 - Професіонали в галузі цивільного будівництва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2142.1 - Науковий співробітник (цивільне будівництво)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- Молодший науковий співробітник (цивільне будівництво)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- Науковий співробітник (цивільне будівництво)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- Науковий співробітник-консультант (цивільне будівництво)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2142.2 — Інженери в галузі цивільного будівництва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- Гідротехнік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- Інженер з експлуатації аеродромів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- Інженер з нагляду за будівництвом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- Інженер з проектно-кошторисної роботи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- Інженер-будівельник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- Інженер-будівельник з реставрації пам’яток архітектури та містобудування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- Інженер-проектувальник (цивільне будівництво)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- Технолог (будівельні матеріали)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2447 - Професіонали у сфері управління проектами та програмами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 xml:space="preserve">Професії та професійні назви робіт згідно </w:t>
            </w:r>
            <w:proofErr w:type="spellStart"/>
            <w:r>
              <w:t>International</w:t>
            </w:r>
            <w:proofErr w:type="spellEnd"/>
            <w:r>
              <w:t xml:space="preserve"> Standard </w:t>
            </w:r>
            <w:proofErr w:type="spellStart"/>
            <w:r>
              <w:t>Classification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Occupations</w:t>
            </w:r>
            <w:proofErr w:type="spellEnd"/>
            <w:r>
              <w:t xml:space="preserve"> 2008 (ISCO-08):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 xml:space="preserve">2142 - </w:t>
            </w:r>
            <w:proofErr w:type="spellStart"/>
            <w:r>
              <w:t>Civil</w:t>
            </w:r>
            <w:proofErr w:type="spellEnd"/>
            <w:r>
              <w:t xml:space="preserve"> </w:t>
            </w:r>
            <w:proofErr w:type="spellStart"/>
            <w:r>
              <w:t>engineers</w:t>
            </w:r>
            <w:proofErr w:type="spellEnd"/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Civil</w:t>
            </w:r>
            <w:proofErr w:type="spellEnd"/>
            <w:r>
              <w:t xml:space="preserve"> </w:t>
            </w:r>
            <w:proofErr w:type="spellStart"/>
            <w:r>
              <w:t>engineer</w:t>
            </w:r>
            <w:proofErr w:type="spellEnd"/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Geotechnical</w:t>
            </w:r>
            <w:proofErr w:type="spellEnd"/>
            <w:r>
              <w:t xml:space="preserve"> </w:t>
            </w:r>
            <w:proofErr w:type="spellStart"/>
            <w:r>
              <w:t>engineer</w:t>
            </w:r>
            <w:proofErr w:type="spellEnd"/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Structural</w:t>
            </w:r>
            <w:proofErr w:type="spellEnd"/>
            <w:r>
              <w:t xml:space="preserve"> </w:t>
            </w:r>
            <w:proofErr w:type="spellStart"/>
            <w:r>
              <w:t>engineer</w:t>
            </w:r>
            <w:proofErr w:type="spellEnd"/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 xml:space="preserve">1223 -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managers</w:t>
            </w:r>
            <w:proofErr w:type="spellEnd"/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Product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manager</w:t>
            </w:r>
            <w:proofErr w:type="spellEnd"/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 xml:space="preserve">24 - </w:t>
            </w:r>
            <w:proofErr w:type="spellStart"/>
            <w:r>
              <w:t>Business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Administration</w:t>
            </w:r>
            <w:proofErr w:type="spellEnd"/>
            <w:r>
              <w:t xml:space="preserve"> </w:t>
            </w:r>
            <w:proofErr w:type="spellStart"/>
            <w:r>
              <w:t>Professionals</w:t>
            </w:r>
            <w:proofErr w:type="spellEnd"/>
          </w:p>
        </w:tc>
      </w:tr>
      <w:tr w:rsidR="008668ED">
        <w:tc>
          <w:tcPr>
            <w:tcW w:w="3044" w:type="dxa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lastRenderedPageBreak/>
              <w:t>Подальше навчання</w:t>
            </w:r>
          </w:p>
        </w:tc>
        <w:tc>
          <w:tcPr>
            <w:tcW w:w="6807" w:type="dxa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</w:pPr>
            <w:r>
              <w:t>Продовження навчання на третьому (</w:t>
            </w:r>
            <w:proofErr w:type="spellStart"/>
            <w:r>
              <w:t>освітньо-науковому</w:t>
            </w:r>
            <w:proofErr w:type="spellEnd"/>
            <w:r>
              <w:t>) рівні вищої освіти та набуття додаткових кваліфікацій в системі освіти дорослих.</w:t>
            </w:r>
          </w:p>
        </w:tc>
      </w:tr>
      <w:tr w:rsidR="008668ED">
        <w:tc>
          <w:tcPr>
            <w:tcW w:w="9851" w:type="dxa"/>
            <w:gridSpan w:val="2"/>
            <w:shd w:val="clear" w:color="auto" w:fill="D9D9D9"/>
          </w:tcPr>
          <w:p w:rsidR="008668ED" w:rsidRDefault="00C672F9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1.5 – Викладання та оцінювання</w:t>
            </w:r>
          </w:p>
        </w:tc>
      </w:tr>
      <w:tr w:rsidR="008668ED">
        <w:tc>
          <w:tcPr>
            <w:tcW w:w="3044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t>Викладання та навчання</w:t>
            </w:r>
          </w:p>
        </w:tc>
        <w:tc>
          <w:tcPr>
            <w:tcW w:w="6807" w:type="dxa"/>
          </w:tcPr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 xml:space="preserve">Основними підходами є </w:t>
            </w:r>
            <w:proofErr w:type="spellStart"/>
            <w:r>
              <w:t>студентоцентроване</w:t>
            </w:r>
            <w:proofErr w:type="spellEnd"/>
            <w:r>
              <w:t xml:space="preserve"> та </w:t>
            </w:r>
            <w:proofErr w:type="spellStart"/>
            <w:r>
              <w:t>проблемно-</w:t>
            </w:r>
            <w:proofErr w:type="spellEnd"/>
            <w:r>
              <w:t xml:space="preserve"> орієнтоване навчання, електронне навчання, самонавчання, і навчання на основі досліджень.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 xml:space="preserve">Викладання проводиться у вигляді лекцій, практичних занять, лабораторних робіт, аудиторних або </w:t>
            </w:r>
            <w:proofErr w:type="spellStart"/>
            <w:r>
              <w:t>online</w:t>
            </w:r>
            <w:proofErr w:type="spellEnd"/>
            <w:r>
              <w:t xml:space="preserve"> консультацій, індивідуальних занять, самостійної та проектної роботи з використанням мультимедійного обладнання. Навчання критиці власної роботи.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конструктивній критиці роботи інших, продуктивному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використанню критичних зауважень з боку інших.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 xml:space="preserve">Самостійна робота з інформацією у бібліотеці університету та використання ресурсів </w:t>
            </w:r>
            <w:proofErr w:type="spellStart"/>
            <w:r>
              <w:t>інтернету</w:t>
            </w:r>
            <w:proofErr w:type="spellEnd"/>
            <w:r>
              <w:t>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Індивідуальні консультації викладачів університету, керівників і провідних спеціалістів підприємств будівельної галузі.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Робота здобувачів у складі робочих груп при виконанні спільних комплексних проектів.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ОПП передбачено не менше 25% обсягу навчання за вибором студента.</w:t>
            </w:r>
          </w:p>
        </w:tc>
      </w:tr>
      <w:tr w:rsidR="008668ED">
        <w:tc>
          <w:tcPr>
            <w:tcW w:w="3044" w:type="dxa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t>Оцінювання</w:t>
            </w:r>
          </w:p>
        </w:tc>
        <w:tc>
          <w:tcPr>
            <w:tcW w:w="6807" w:type="dxa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Система оцінювання якості підготовки магістрів включає: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вхідний, поточний, підсумковий (семестровий), ректорський контроль та атестацію здобувачів вищої освіти. Поточне оцінювання: усне опитування, тестування знань та вмінь, консультації для обговорення результатів поточного та проміжного оцінювання.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Підсумковий (семестровий) контроль з дисциплін: захист курсових проектів, звітів з практики, заліки, письмові іспити, семінари для обговорення результатів іспитів.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Оцінювання навчальних досягнень здійснюється за 100- бальною (рейтинговою) шкалою ЄКТС (ЕСТБ), національною 4-х бальною шкалою («відмінно», «добре», «задовільно», «незадовільно») і вербальною («зараховано», «</w:t>
            </w:r>
            <w:proofErr w:type="spellStart"/>
            <w:r>
              <w:t>незараховано</w:t>
            </w:r>
            <w:proofErr w:type="spellEnd"/>
            <w:r>
              <w:t>») системами.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Атестація здійснюється у формі публічного захисту кваліфікаційної роботи (дипломного проекту (роботи)). Дипломний проект (робота) передбачає розв’язання комплексної проектної та наукової задачі в сфері будівництва та/або цивільної інженерії.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Кваліфікаційна робота не повинна містити академічного плагіату, фабрикації, фальсифікації.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 xml:space="preserve">Кваліфікаційна робота мас бути розміщена у </w:t>
            </w:r>
            <w:proofErr w:type="spellStart"/>
            <w:r>
              <w:t>репозитарії</w:t>
            </w:r>
            <w:proofErr w:type="spellEnd"/>
            <w:r>
              <w:t xml:space="preserve"> кафедри будівельного виробництва та управління проектами. Захист магістерської роботи відбувається прилюдно на засіданні Екзаменаційної комісії з держаної атестації здобувачів вищої освіти.</w:t>
            </w:r>
          </w:p>
        </w:tc>
      </w:tr>
      <w:tr w:rsidR="008668ED">
        <w:tc>
          <w:tcPr>
            <w:tcW w:w="9851" w:type="dxa"/>
            <w:gridSpan w:val="2"/>
            <w:shd w:val="clear" w:color="auto" w:fill="D9D9D9"/>
          </w:tcPr>
          <w:p w:rsidR="008668ED" w:rsidRDefault="00C672F9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1.6 – Програмні компетентності</w:t>
            </w:r>
          </w:p>
        </w:tc>
      </w:tr>
      <w:tr w:rsidR="008668ED">
        <w:tc>
          <w:tcPr>
            <w:tcW w:w="3044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t>Інтегральна компетентність</w:t>
            </w:r>
          </w:p>
        </w:tc>
        <w:tc>
          <w:tcPr>
            <w:tcW w:w="6807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t>Здатність розв’язувати задачі дослідницького та/або інноваційного характеру у сфері будівництва та цивільної інженерії.</w:t>
            </w:r>
          </w:p>
        </w:tc>
      </w:tr>
      <w:tr w:rsidR="008668ED">
        <w:tc>
          <w:tcPr>
            <w:tcW w:w="3044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lastRenderedPageBreak/>
              <w:t>Загальні компетентності</w:t>
            </w:r>
          </w:p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t>(ЗК)</w:t>
            </w:r>
          </w:p>
        </w:tc>
        <w:tc>
          <w:tcPr>
            <w:tcW w:w="6807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t>ЗК01. Здатність до абстрактного мислення, аналізу та синтезу. ЗК02. Здатність проводити дослідження на відповідному рівні.</w:t>
            </w:r>
          </w:p>
          <w:p w:rsidR="008668ED" w:rsidRDefault="00C672F9">
            <w:pPr>
              <w:spacing w:line="240" w:lineRule="auto"/>
              <w:ind w:left="0" w:hanging="2"/>
            </w:pPr>
            <w:r>
              <w:t>ЗК03. Здатність до адаптації та дії в новій ситуації.</w:t>
            </w:r>
          </w:p>
          <w:p w:rsidR="008668ED" w:rsidRDefault="00C672F9">
            <w:pPr>
              <w:spacing w:line="240" w:lineRule="auto"/>
              <w:ind w:left="0" w:hanging="2"/>
            </w:pPr>
            <w:r>
              <w:t>ЗК04. Здатність приймати обґрунтовані рішення.</w:t>
            </w:r>
          </w:p>
          <w:p w:rsidR="008668ED" w:rsidRDefault="00C672F9">
            <w:pPr>
              <w:spacing w:line="240" w:lineRule="auto"/>
              <w:ind w:left="0" w:hanging="2"/>
            </w:pPr>
            <w:r>
              <w:t>ЗК05. Здатність оцінювати та забезпечувати якість виконуваних робіт.</w:t>
            </w:r>
          </w:p>
          <w:p w:rsidR="008668ED" w:rsidRDefault="00C672F9">
            <w:pPr>
              <w:spacing w:line="240" w:lineRule="auto"/>
              <w:ind w:left="0" w:hanging="2"/>
            </w:pPr>
            <w:r>
              <w:t>ЗК06. Прагнення до збереження довкілля, територій та навколишнього середовища.</w:t>
            </w:r>
          </w:p>
        </w:tc>
      </w:tr>
      <w:tr w:rsidR="008668ED">
        <w:tc>
          <w:tcPr>
            <w:tcW w:w="3044" w:type="dxa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t>Фахові компетентності</w:t>
            </w:r>
          </w:p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t>спеціальності (СК)</w:t>
            </w:r>
          </w:p>
        </w:tc>
        <w:tc>
          <w:tcPr>
            <w:tcW w:w="6807" w:type="dxa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СК01. Здатність інтегрувати спеціалізовані концептуальні знання в галузі будівництва та цивільної інженерії, у поєднанні з дотриманням чинних нормативно-правових документів у сфері архітектури та будівництва, для вирішення складних інженерних задач промислового та цивільного будівництва.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СК02. Здатність розробляти та реалізовувати проекти в галузі будівництва та цивільної інженерії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СК03. Здатність забезпечувати безпеку при управлінні складними процесами в галузі будівництва та цивільної інженерії.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СК04. Здатність проводити обстеження, випробування, діагностику та розрахунки при розв’язанні задач в галузі будівництва та цивільної інженерії.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СК05. Здатність будувати та досліджувати моделі ситуацій, об’єктів та процесів будівництва та цивільної інженерії.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СК06. Здатність використовувати існуючі в будівництві комп’ютерні програми при вирішенні складних інженерних задач в галузі будівництва та цивільної інженерії.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СК07. Здатність зрозуміло і недвозначно доносити власні знання, висновки та аргументації до фахівців і нефахівців будівельної галузі.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 xml:space="preserve">СК08. Здатність інтегрувати знання з інших галузей для розв’язання складних задач у широких або </w:t>
            </w:r>
            <w:proofErr w:type="spellStart"/>
            <w:r>
              <w:t>мультидисциплінарних</w:t>
            </w:r>
            <w:proofErr w:type="spellEnd"/>
            <w:r>
              <w:t xml:space="preserve"> контекстах.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 xml:space="preserve">СК09. Здатність вирішувати завдання з прийняття архітектурно-планувальних та конструктивних рішень в процесі проектування </w:t>
            </w:r>
            <w:proofErr w:type="spellStart"/>
            <w:r>
              <w:t>енергоефективних</w:t>
            </w:r>
            <w:proofErr w:type="spellEnd"/>
            <w:r>
              <w:t xml:space="preserve"> будівель та споруд з урахуванням впливу функціонально-технологічних процесів та природно-кліматичних умов, інших несприятливих дій і створення оптимального комфорту для людей та технологічного процесу.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СК10. Здатність обирати сучасні технології і методи виконання процесу будівельного виробництва для реалізації проектів зведення спеціальних будівель та споруд.</w:t>
            </w:r>
          </w:p>
        </w:tc>
      </w:tr>
      <w:tr w:rsidR="008668ED">
        <w:tc>
          <w:tcPr>
            <w:tcW w:w="9851" w:type="dxa"/>
            <w:gridSpan w:val="2"/>
            <w:shd w:val="clear" w:color="auto" w:fill="D9D9D9"/>
          </w:tcPr>
          <w:p w:rsidR="008668ED" w:rsidRDefault="00C672F9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1.7 – Програмні результати навчання</w:t>
            </w:r>
          </w:p>
        </w:tc>
      </w:tr>
      <w:tr w:rsidR="008668ED">
        <w:tc>
          <w:tcPr>
            <w:tcW w:w="9851" w:type="dxa"/>
            <w:gridSpan w:val="2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 xml:space="preserve">РН01. Проектувати будівлі і споруди промислового та цивільного призначення, в тому числі з використанням програмних систем комп’ютерного проектування, з метою забезпечення їх надійності та довговічності, прийняття раціональних проектних та технічних рішень, техніко-економічного обґрунтування, враховуючи особливості об’єкта будівництва, визначення оптимального режиму його функціонування та впровадження заходів з </w:t>
            </w:r>
            <w:proofErr w:type="spellStart"/>
            <w:r>
              <w:t>ресурсо-</w:t>
            </w:r>
            <w:proofErr w:type="spellEnd"/>
            <w:r>
              <w:t xml:space="preserve"> та енергозбереження.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РН02. Застосовувати спеціалізовані концептуальні знання, що включають сучасні наукові здобутки, а також критичне осмислення сучасних проблем в галузі будівництва та цивільної інженерії для розв'язування складних задач професійної діяльності.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lastRenderedPageBreak/>
              <w:t>РН03. Проводити технічну експертизу проектів об’єктів будівництва та цивільної інженерії (відповідно до спеціалізації), здійснюючи контроль відповідності проектів і технічної документації, завданням на проектування, технічним умовам та іншим чинним нормативно-правовим документам у сфері архітектури та будівництва.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 xml:space="preserve">РН04. Здійснювати експлуатацію, утримання та контроль якості зведення об’єктів будівництва та цивільної інженерії. 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 xml:space="preserve">РН05. Вільно спілкуватися державною та іноземною мовами усно і письмово для обговорення професійних проблем і результатів діяльності у сфері архітектури та будівництва. 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РН06. Застосовувати сучасні математичні методи для аналізу статистичних даних, розрахунку та оптимізації параметрів проектування та технологічних процесів зведення будівель та споруд.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РН07. Розробляти заходи з охорони праці та навколишнього середовища при проведенні досліджень та у виробничій діяльності.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РН08. Відслідковувати найновіші досягнення в обраній спеціалізації, застосовувати їх для створення інновацій.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РН09. Підбирати сучасні матеріали, технології і методи виконання процесу будівельного виробництва, враховуючи архітектурно-планувальну, конструктивну частину проекту та базу будівельної організації.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РН10. Збирати необхідну інформацію, використовуючи науково-технічну літературу, бази даних та інші джерела, аналізувати і оцінювати її.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РН11. Дотримуватись норм академічної доброчесності, знати основні правові норми щодо захисту інтелектуальної власності, комерціалізації результатів науково-дослідної, винахідницької та проектної діяльності.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РН12. Здатність розв’язувати проблеми будівництва та цивільної інженерії у нових або незнайомих середовищах за наявності неповної або обмеженої інформації з урахуванням аспектів соціальної та етичної відповідальності.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 xml:space="preserve">РН13. Здатність проектувати та проводити порівняльну оцінку </w:t>
            </w:r>
            <w:proofErr w:type="spellStart"/>
            <w:r>
              <w:t>енергоефективних</w:t>
            </w:r>
            <w:proofErr w:type="spellEnd"/>
            <w:r>
              <w:t xml:space="preserve"> будівель та споруд, їх огороджувальних конструкцій.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РН14. Здатність реалізовувати проекти зведення спеціальних будівель та споруд, керуючись нормативними матеріалами, враховуючи архітектурно-планувальну і конструктивну частину проекту, базу будівельної організації та складні будівельні процеси.</w:t>
            </w:r>
          </w:p>
        </w:tc>
      </w:tr>
      <w:tr w:rsidR="008668ED">
        <w:tc>
          <w:tcPr>
            <w:tcW w:w="9851" w:type="dxa"/>
            <w:gridSpan w:val="2"/>
            <w:shd w:val="clear" w:color="auto" w:fill="D9D9D9"/>
          </w:tcPr>
          <w:p w:rsidR="008668ED" w:rsidRDefault="00C672F9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lastRenderedPageBreak/>
              <w:t>1.8 – Ресурсне забезпечення реалізації програми</w:t>
            </w:r>
          </w:p>
        </w:tc>
      </w:tr>
      <w:tr w:rsidR="008668ED">
        <w:tc>
          <w:tcPr>
            <w:tcW w:w="3044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t>Кадрове забезпечення</w:t>
            </w:r>
          </w:p>
        </w:tc>
        <w:tc>
          <w:tcPr>
            <w:tcW w:w="6807" w:type="dxa"/>
          </w:tcPr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Науково-педагогічні працівники, що забезпечують освітній процес за спеціальністю мають стаж науково-педагогічної діяльності понад два роки та рівень наукової та професійної активності, який відповідає Ліцензійним умовам Провадження освітньої діяльності.</w:t>
            </w:r>
          </w:p>
        </w:tc>
      </w:tr>
      <w:tr w:rsidR="008668ED">
        <w:tc>
          <w:tcPr>
            <w:tcW w:w="3044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t>Матеріально-технічне забезпечення</w:t>
            </w:r>
          </w:p>
        </w:tc>
        <w:tc>
          <w:tcPr>
            <w:tcW w:w="6807" w:type="dxa"/>
          </w:tcPr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 xml:space="preserve">Приміщення кафедри будівельного виробництва та управління проектами розташовані у 7 навчальних, лабораторних та допоміжних аудиторіях загальною площею 302,5 </w:t>
            </w:r>
            <w:proofErr w:type="spellStart"/>
            <w:r>
              <w:t>кв.м</w:t>
            </w:r>
            <w:proofErr w:type="spellEnd"/>
            <w:r>
              <w:t xml:space="preserve">., які розташовані в п’ятому навчальному корпусі університету, Площа, яка відведена, під навчальні аудиторії, лабораторії та комп'ютерний клас складає 243,7 </w:t>
            </w:r>
            <w:proofErr w:type="spellStart"/>
            <w:r>
              <w:t>кв.м</w:t>
            </w:r>
            <w:proofErr w:type="spellEnd"/>
            <w:r>
              <w:t xml:space="preserve">. Кімнати професорського і викладацького складу займають площу в 58,8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Здобувачі вищої освіти, які цього потребують, забезпечені гуртожитком.</w:t>
            </w:r>
          </w:p>
        </w:tc>
      </w:tr>
      <w:tr w:rsidR="008668ED">
        <w:tc>
          <w:tcPr>
            <w:tcW w:w="3044" w:type="dxa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t>Інформаційне та навчально-методичне забезпечення</w:t>
            </w:r>
          </w:p>
        </w:tc>
        <w:tc>
          <w:tcPr>
            <w:tcW w:w="6807" w:type="dxa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Інформаційне забезпечення: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• Наявність опису освітньо-професійної програми. Наявність навчального плану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• Наявність робочих програм з кожної навчальної дисципліни навчального плану.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lastRenderedPageBreak/>
              <w:t>• Наявність навчально-методичного комплексу забезпечення з кожної навчальної дисципліни навчального плану.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• Забезпеченість студентів навчальними матеріалами з кожної навчальної дисципліни навчального плану.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• Наявність методичних матеріалів для проведення атестації здобувачів.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 xml:space="preserve">Доступ до навчально-методичних матеріалів здійснюється через </w:t>
            </w:r>
            <w:proofErr w:type="spellStart"/>
            <w:r>
              <w:t>загальноуніверситетську</w:t>
            </w:r>
            <w:proofErr w:type="spellEnd"/>
            <w:r>
              <w:t xml:space="preserve"> платформу </w:t>
            </w:r>
            <w:proofErr w:type="spellStart"/>
            <w:r>
              <w:t>moodle.zp.edu.ua</w:t>
            </w:r>
            <w:proofErr w:type="spellEnd"/>
            <w:r>
              <w:t>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 xml:space="preserve">Бібліотека поєднує традиційні бібліотечні фонди (841880 прим.), фонд електронних документів (54828 назв.), технологічні комплекси, що забезпечують доступ до світових і інформаційних ресурсів. зокрема до ресурсів </w:t>
            </w:r>
            <w:proofErr w:type="spellStart"/>
            <w:r>
              <w:t>Elsevier</w:t>
            </w:r>
            <w:proofErr w:type="spellEnd"/>
            <w:r>
              <w:t xml:space="preserve"> (SCOPUS),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. </w:t>
            </w:r>
            <w:proofErr w:type="spellStart"/>
            <w:r>
              <w:t>hltp</w:t>
            </w:r>
            <w:proofErr w:type="spellEnd"/>
            <w:r>
              <w:t>://</w:t>
            </w:r>
            <w:proofErr w:type="spellStart"/>
            <w:r>
              <w:t>www.zntu.edu.ua</w:t>
            </w:r>
            <w:proofErr w:type="spellEnd"/>
            <w:r>
              <w:t xml:space="preserve">/naukova- </w:t>
            </w:r>
            <w:proofErr w:type="spellStart"/>
            <w:r>
              <w:t>biblioteka</w:t>
            </w:r>
            <w:proofErr w:type="spellEnd"/>
            <w:r>
              <w:t xml:space="preserve"> ).</w:t>
            </w:r>
          </w:p>
          <w:p w:rsidR="008668ED" w:rsidRDefault="00C672F9">
            <w:pPr>
              <w:spacing w:line="240" w:lineRule="auto"/>
              <w:ind w:left="0" w:hanging="2"/>
              <w:jc w:val="both"/>
            </w:pPr>
            <w:r>
              <w:t>На офіційному веб-сайті НУ «Запорізька політехніка» розміщена основна інформація про її діяльність (структура, ліцензії та сертифікати про акредитацію, навчальні та наукові: структурні підрозділи та їх склад, правила прийому, контактна інформація).</w:t>
            </w:r>
          </w:p>
        </w:tc>
      </w:tr>
      <w:tr w:rsidR="008668ED">
        <w:tc>
          <w:tcPr>
            <w:tcW w:w="9851" w:type="dxa"/>
            <w:gridSpan w:val="2"/>
            <w:shd w:val="clear" w:color="auto" w:fill="D9D9D9"/>
          </w:tcPr>
          <w:p w:rsidR="008668ED" w:rsidRDefault="00C672F9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lastRenderedPageBreak/>
              <w:t>1.9 – Академічна мобільність</w:t>
            </w:r>
          </w:p>
        </w:tc>
      </w:tr>
      <w:tr w:rsidR="008668ED">
        <w:tc>
          <w:tcPr>
            <w:tcW w:w="3044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t>Національна кредитна мобільність</w:t>
            </w:r>
          </w:p>
        </w:tc>
        <w:tc>
          <w:tcPr>
            <w:tcW w:w="6807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t xml:space="preserve">Національна кредитна мобільність регламентується Положенням про порядок реалізації права </w:t>
            </w:r>
            <w:proofErr w:type="spellStart"/>
            <w:r>
              <w:t>нa</w:t>
            </w:r>
            <w:proofErr w:type="spellEnd"/>
            <w:r>
              <w:t xml:space="preserve"> академічну мобільність учасників освітнього процесу Національного університету «Запорізька політехніка» https://zp.edu.ua/uploads/dept_nm/Polozhennia_pro_akademichnu_mobilnist.pdf.</w:t>
            </w:r>
          </w:p>
        </w:tc>
      </w:tr>
      <w:tr w:rsidR="008668ED">
        <w:tc>
          <w:tcPr>
            <w:tcW w:w="3044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t>Міжнародна кредитна мобільність</w:t>
            </w:r>
          </w:p>
        </w:tc>
        <w:tc>
          <w:tcPr>
            <w:tcW w:w="6807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t>Міжнародна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«Запорізька політехніка» (zntu.edu.ua/uploads/dept_nm/Polozhennia_pro_akademichnu_mobilnist.pdf), а також договорами про міжнародну кредитну мобільність Національного університету «Запорізька політехніка»</w:t>
            </w:r>
          </w:p>
        </w:tc>
      </w:tr>
      <w:tr w:rsidR="008668ED">
        <w:tc>
          <w:tcPr>
            <w:tcW w:w="3044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rPr>
                <w:b/>
              </w:rPr>
              <w:t>Навчання іноземних здобувачів вищої освіти</w:t>
            </w:r>
          </w:p>
        </w:tc>
        <w:tc>
          <w:tcPr>
            <w:tcW w:w="6807" w:type="dxa"/>
          </w:tcPr>
          <w:p w:rsidR="008668ED" w:rsidRDefault="00C672F9">
            <w:pPr>
              <w:spacing w:line="240" w:lineRule="auto"/>
              <w:ind w:left="0" w:hanging="2"/>
            </w:pPr>
            <w:r>
              <w:t>Регламентовано Положенням про організацію набору та навчання (стажування) іноземців та осіб без громадянства в Національному університеті «Запорізька політехніка» https://zp.edu.ua/uploads/dept_inter/pol_pro_org_naboru_ta_navch_inozemtsiv.pdf</w:t>
            </w:r>
          </w:p>
        </w:tc>
      </w:tr>
    </w:tbl>
    <w:p w:rsidR="008668ED" w:rsidRDefault="008668ED">
      <w:pPr>
        <w:spacing w:line="240" w:lineRule="auto"/>
        <w:ind w:left="2" w:hanging="4"/>
        <w:rPr>
          <w:sz w:val="36"/>
          <w:szCs w:val="36"/>
        </w:rPr>
      </w:pPr>
    </w:p>
    <w:p w:rsidR="008668ED" w:rsidRDefault="00C672F9">
      <w:pPr>
        <w:spacing w:line="240" w:lineRule="auto"/>
        <w:ind w:left="0" w:hanging="2"/>
        <w:jc w:val="center"/>
      </w:pPr>
      <w:r>
        <w:br w:type="page"/>
      </w:r>
      <w:r>
        <w:rPr>
          <w:b/>
        </w:rPr>
        <w:lastRenderedPageBreak/>
        <w:t>2. Перелік компонент освітньо-професійної/наукової програми та їх логічна послідовність</w:t>
      </w:r>
    </w:p>
    <w:p w:rsidR="008668ED" w:rsidRDefault="00C672F9">
      <w:pPr>
        <w:spacing w:line="240" w:lineRule="auto"/>
        <w:ind w:left="0" w:hanging="2"/>
        <w:rPr>
          <w:sz w:val="23"/>
          <w:szCs w:val="23"/>
        </w:rPr>
      </w:pPr>
      <w:r>
        <w:rPr>
          <w:sz w:val="23"/>
          <w:szCs w:val="23"/>
        </w:rPr>
        <w:t>2.1. Перелік компонент ОП.</w:t>
      </w:r>
    </w:p>
    <w:tbl>
      <w:tblPr>
        <w:tblStyle w:val="af9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5843"/>
        <w:gridCol w:w="1260"/>
        <w:gridCol w:w="1543"/>
      </w:tblGrid>
      <w:tr w:rsidR="008668ED">
        <w:tc>
          <w:tcPr>
            <w:tcW w:w="925" w:type="dxa"/>
            <w:vAlign w:val="center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Код н/д</w:t>
            </w:r>
          </w:p>
        </w:tc>
        <w:tc>
          <w:tcPr>
            <w:tcW w:w="5843" w:type="dxa"/>
            <w:vAlign w:val="center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260" w:type="dxa"/>
            <w:vAlign w:val="center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кредитів</w:t>
            </w:r>
          </w:p>
        </w:tc>
        <w:tc>
          <w:tcPr>
            <w:tcW w:w="1543" w:type="dxa"/>
            <w:vAlign w:val="center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Форма підсумкового контролю</w:t>
            </w:r>
          </w:p>
        </w:tc>
      </w:tr>
      <w:tr w:rsidR="008668ED">
        <w:tc>
          <w:tcPr>
            <w:tcW w:w="925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843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60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43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8668ED">
        <w:tc>
          <w:tcPr>
            <w:tcW w:w="9571" w:type="dxa"/>
            <w:gridSpan w:val="4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b/>
                <w:sz w:val="22"/>
                <w:szCs w:val="22"/>
              </w:rPr>
              <w:t>ОБОВ'ЯЗКОВІ КОМПОНЕНТИ (ОК)</w:t>
            </w:r>
          </w:p>
        </w:tc>
      </w:tr>
      <w:tr w:rsidR="008668ED">
        <w:trPr>
          <w:trHeight w:val="309"/>
        </w:trPr>
        <w:tc>
          <w:tcPr>
            <w:tcW w:w="925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ОК 1.</w:t>
            </w:r>
          </w:p>
        </w:tc>
        <w:tc>
          <w:tcPr>
            <w:tcW w:w="5843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Захист населення, територій, довкілля та виробнича безпека</w:t>
            </w:r>
          </w:p>
        </w:tc>
        <w:tc>
          <w:tcPr>
            <w:tcW w:w="1260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43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диф</w:t>
            </w:r>
            <w:proofErr w:type="spellEnd"/>
            <w:r>
              <w:rPr>
                <w:sz w:val="23"/>
                <w:szCs w:val="23"/>
              </w:rPr>
              <w:t>. залік</w:t>
            </w:r>
          </w:p>
        </w:tc>
      </w:tr>
      <w:tr w:rsidR="008668ED">
        <w:tc>
          <w:tcPr>
            <w:tcW w:w="925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ОК 2.</w:t>
            </w:r>
          </w:p>
        </w:tc>
        <w:tc>
          <w:tcPr>
            <w:tcW w:w="5843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Сучасні методи проектування будівель та споруд</w:t>
            </w:r>
          </w:p>
        </w:tc>
        <w:tc>
          <w:tcPr>
            <w:tcW w:w="1260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43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залік</w:t>
            </w:r>
          </w:p>
        </w:tc>
      </w:tr>
      <w:tr w:rsidR="008668ED">
        <w:tc>
          <w:tcPr>
            <w:tcW w:w="925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3.</w:t>
            </w:r>
          </w:p>
        </w:tc>
        <w:tc>
          <w:tcPr>
            <w:tcW w:w="5843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Комп’ютерне забезпечення будівельного виробництва</w:t>
            </w:r>
          </w:p>
        </w:tc>
        <w:tc>
          <w:tcPr>
            <w:tcW w:w="1260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43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залік</w:t>
            </w:r>
          </w:p>
        </w:tc>
      </w:tr>
      <w:tr w:rsidR="008668ED">
        <w:trPr>
          <w:trHeight w:val="280"/>
        </w:trPr>
        <w:tc>
          <w:tcPr>
            <w:tcW w:w="925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ОК 4.</w:t>
            </w:r>
          </w:p>
        </w:tc>
        <w:tc>
          <w:tcPr>
            <w:tcW w:w="5843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Проектна та експлуатаційна надійність будівель та споруд</w:t>
            </w:r>
          </w:p>
        </w:tc>
        <w:tc>
          <w:tcPr>
            <w:tcW w:w="1260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43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екзамен</w:t>
            </w:r>
          </w:p>
        </w:tc>
      </w:tr>
      <w:tr w:rsidR="008668ED">
        <w:tc>
          <w:tcPr>
            <w:tcW w:w="925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ОК 5.</w:t>
            </w:r>
          </w:p>
        </w:tc>
        <w:tc>
          <w:tcPr>
            <w:tcW w:w="5843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Спеціальний курс з організації будівництва</w:t>
            </w:r>
          </w:p>
        </w:tc>
        <w:tc>
          <w:tcPr>
            <w:tcW w:w="1260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</w:t>
            </w:r>
          </w:p>
        </w:tc>
        <w:tc>
          <w:tcPr>
            <w:tcW w:w="1543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екзамен</w:t>
            </w:r>
          </w:p>
        </w:tc>
      </w:tr>
      <w:tr w:rsidR="008668ED">
        <w:trPr>
          <w:trHeight w:val="92"/>
        </w:trPr>
        <w:tc>
          <w:tcPr>
            <w:tcW w:w="925" w:type="dxa"/>
            <w:tcBorders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rPr>
                <w:sz w:val="23"/>
                <w:szCs w:val="23"/>
              </w:rPr>
            </w:pPr>
          </w:p>
        </w:tc>
        <w:tc>
          <w:tcPr>
            <w:tcW w:w="5843" w:type="dxa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Спеціальний курс з організації будівництва КП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1,5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</w:t>
            </w:r>
          </w:p>
        </w:tc>
      </w:tr>
      <w:tr w:rsidR="008668ED">
        <w:trPr>
          <w:trHeight w:val="70"/>
        </w:trPr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ОК 6.</w:t>
            </w:r>
          </w:p>
        </w:tc>
        <w:tc>
          <w:tcPr>
            <w:tcW w:w="5843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Наукові дослідження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екзамен</w:t>
            </w:r>
          </w:p>
        </w:tc>
      </w:tr>
      <w:tr w:rsidR="008668ED">
        <w:trPr>
          <w:trHeight w:val="70"/>
        </w:trPr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ОК 7.</w:t>
            </w:r>
          </w:p>
        </w:tc>
        <w:tc>
          <w:tcPr>
            <w:tcW w:w="5843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Технологія зведення спеціальних будівель та споруд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екзамен</w:t>
            </w:r>
          </w:p>
        </w:tc>
      </w:tr>
      <w:tr w:rsidR="008668ED">
        <w:trPr>
          <w:trHeight w:val="176"/>
        </w:trPr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ОК 8.</w:t>
            </w:r>
          </w:p>
        </w:tc>
        <w:tc>
          <w:tcPr>
            <w:tcW w:w="5843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Енергоефективність будівель та споруд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залік</w:t>
            </w:r>
          </w:p>
        </w:tc>
      </w:tr>
      <w:tr w:rsidR="008668ED">
        <w:trPr>
          <w:trHeight w:val="70"/>
        </w:trPr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ОК 9.</w:t>
            </w:r>
          </w:p>
        </w:tc>
        <w:tc>
          <w:tcPr>
            <w:tcW w:w="5843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Комплексний курсовий проект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</w:t>
            </w:r>
          </w:p>
        </w:tc>
      </w:tr>
      <w:tr w:rsidR="008668ED">
        <w:trPr>
          <w:trHeight w:val="302"/>
        </w:trPr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10.</w:t>
            </w:r>
          </w:p>
        </w:tc>
        <w:tc>
          <w:tcPr>
            <w:tcW w:w="5843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Переддипломна практика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диф</w:t>
            </w:r>
            <w:proofErr w:type="spellEnd"/>
            <w:r>
              <w:rPr>
                <w:sz w:val="23"/>
                <w:szCs w:val="23"/>
              </w:rPr>
              <w:t>. залік</w:t>
            </w:r>
          </w:p>
        </w:tc>
      </w:tr>
      <w:tr w:rsidR="008668ED">
        <w:trPr>
          <w:trHeight w:val="70"/>
        </w:trPr>
        <w:tc>
          <w:tcPr>
            <w:tcW w:w="925" w:type="dxa"/>
            <w:tcBorders>
              <w:top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11.</w:t>
            </w:r>
          </w:p>
        </w:tc>
        <w:tc>
          <w:tcPr>
            <w:tcW w:w="5843" w:type="dxa"/>
            <w:tcBorders>
              <w:top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bookmarkStart w:id="1" w:name="_heading=h.gjdgxs" w:colFirst="0" w:colLast="0"/>
            <w:bookmarkEnd w:id="1"/>
            <w:proofErr w:type="spellStart"/>
            <w:r>
              <w:rPr>
                <w:sz w:val="23"/>
                <w:szCs w:val="23"/>
              </w:rPr>
              <w:t>Дипломування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1543" w:type="dxa"/>
            <w:tcBorders>
              <w:top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Публічний захист</w:t>
            </w:r>
          </w:p>
        </w:tc>
      </w:tr>
      <w:tr w:rsidR="008668ED">
        <w:tc>
          <w:tcPr>
            <w:tcW w:w="6768" w:type="dxa"/>
            <w:gridSpan w:val="2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Разом</w:t>
            </w:r>
          </w:p>
        </w:tc>
        <w:tc>
          <w:tcPr>
            <w:tcW w:w="1260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</w:t>
            </w:r>
          </w:p>
        </w:tc>
        <w:tc>
          <w:tcPr>
            <w:tcW w:w="1543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74,44%</w:t>
            </w:r>
          </w:p>
        </w:tc>
      </w:tr>
      <w:tr w:rsidR="008668ED">
        <w:trPr>
          <w:trHeight w:val="275"/>
        </w:trPr>
        <w:tc>
          <w:tcPr>
            <w:tcW w:w="9571" w:type="dxa"/>
            <w:gridSpan w:val="4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ВИБІРКОВІ КОМПОНЕНТИ (ВК)</w:t>
            </w:r>
          </w:p>
        </w:tc>
      </w:tr>
      <w:tr w:rsidR="008668ED">
        <w:trPr>
          <w:trHeight w:val="415"/>
        </w:trPr>
        <w:tc>
          <w:tcPr>
            <w:tcW w:w="925" w:type="dxa"/>
            <w:tcBorders>
              <w:top w:val="single" w:sz="4" w:space="0" w:color="000000"/>
              <w:right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 1.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</w:tcBorders>
          </w:tcPr>
          <w:p w:rsidR="008668ED" w:rsidRDefault="00C672F9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Вибіркові дисципліни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43" w:type="dxa"/>
            <w:tcBorders>
              <w:top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668ED">
        <w:trPr>
          <w:trHeight w:val="120"/>
        </w:trPr>
        <w:tc>
          <w:tcPr>
            <w:tcW w:w="67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ind w:left="0" w:hanging="2"/>
              <w:rPr>
                <w:sz w:val="22"/>
                <w:szCs w:val="22"/>
              </w:rPr>
            </w:pPr>
            <w:r>
              <w:rPr>
                <w:i/>
                <w:sz w:val="23"/>
                <w:szCs w:val="23"/>
              </w:rPr>
              <w:t>Разом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43" w:type="dxa"/>
            <w:tcBorders>
              <w:top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25,56%</w:t>
            </w:r>
          </w:p>
        </w:tc>
      </w:tr>
      <w:tr w:rsidR="008668ED">
        <w:tc>
          <w:tcPr>
            <w:tcW w:w="6768" w:type="dxa"/>
            <w:gridSpan w:val="2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ЗАГАЛЬНИЙ ОБСЯГ ОСВІТНЬОЇ ПРОГРАМИ</w:t>
            </w:r>
          </w:p>
        </w:tc>
        <w:tc>
          <w:tcPr>
            <w:tcW w:w="1260" w:type="dxa"/>
            <w:tcBorders>
              <w:right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</w:t>
            </w:r>
          </w:p>
        </w:tc>
        <w:tc>
          <w:tcPr>
            <w:tcW w:w="1543" w:type="dxa"/>
            <w:tcBorders>
              <w:left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100%</w:t>
            </w:r>
          </w:p>
        </w:tc>
      </w:tr>
    </w:tbl>
    <w:p w:rsidR="008668ED" w:rsidRDefault="008668ED">
      <w:pPr>
        <w:spacing w:line="240" w:lineRule="auto"/>
        <w:ind w:left="0" w:hanging="2"/>
        <w:rPr>
          <w:sz w:val="23"/>
          <w:szCs w:val="23"/>
        </w:rPr>
      </w:pPr>
    </w:p>
    <w:p w:rsidR="008668ED" w:rsidRDefault="00C672F9">
      <w:pPr>
        <w:spacing w:line="240" w:lineRule="auto"/>
        <w:ind w:left="0" w:hanging="2"/>
      </w:pPr>
      <w:r>
        <w:t>2.2. Структурно-логічна схема ОП</w:t>
      </w:r>
    </w:p>
    <w:p w:rsidR="008668ED" w:rsidRDefault="00C672F9">
      <w:pPr>
        <w:spacing w:line="240" w:lineRule="auto"/>
        <w:ind w:left="0" w:hanging="2"/>
        <w:jc w:val="center"/>
        <w:rPr>
          <w:sz w:val="23"/>
          <w:szCs w:val="23"/>
        </w:rPr>
      </w:pPr>
      <w:r>
        <w:rPr>
          <w:noProof/>
          <w:lang w:val="ru-RU"/>
        </w:rPr>
        <w:drawing>
          <wp:inline distT="0" distB="0" distL="0" distR="0">
            <wp:extent cx="4925263" cy="4119886"/>
            <wp:effectExtent l="0" t="0" r="0" b="0"/>
            <wp:docPr id="5" name="image1.jpg" descr="C:\Users\Ishenko\Desktop\Акк\Структурно-логічна схема маг 2021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Ishenko\Desktop\Акк\Структурно-логічна схема маг 2021 2.jpg"/>
                    <pic:cNvPicPr preferRelativeResize="0"/>
                  </pic:nvPicPr>
                  <pic:blipFill>
                    <a:blip r:embed="rId7"/>
                    <a:srcRect l="19403" t="8618" r="15161" b="12672"/>
                    <a:stretch>
                      <a:fillRect/>
                    </a:stretch>
                  </pic:blipFill>
                  <pic:spPr>
                    <a:xfrm>
                      <a:off x="0" y="0"/>
                      <a:ext cx="4925263" cy="41198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:rsidR="008668ED" w:rsidRDefault="00C672F9">
      <w:pPr>
        <w:spacing w:line="240" w:lineRule="auto"/>
        <w:ind w:left="0" w:hanging="2"/>
        <w:rPr>
          <w:sz w:val="23"/>
          <w:szCs w:val="23"/>
        </w:rPr>
      </w:pPr>
      <w:r>
        <w:rPr>
          <w:b/>
          <w:sz w:val="23"/>
          <w:szCs w:val="23"/>
        </w:rPr>
        <w:lastRenderedPageBreak/>
        <w:t>3. Форма атестації здобувачів вищої освіти</w:t>
      </w:r>
    </w:p>
    <w:p w:rsidR="008668ED" w:rsidRDefault="00C672F9">
      <w:pPr>
        <w:spacing w:line="240" w:lineRule="auto"/>
        <w:ind w:left="0" w:hanging="2"/>
      </w:pPr>
      <w:r>
        <w:t>Атестація випускників освітньої програми спеціальності №192 "Будівництво та цивільна інженерія" проводиться у формі захисту кваліфікаційної магістерської роботи та завершується видачею документу встановленого зразка про присудження йому ступеня магістра із присвоєнням кваліфікації:</w:t>
      </w:r>
    </w:p>
    <w:p w:rsidR="008668ED" w:rsidRDefault="00C672F9">
      <w:pPr>
        <w:spacing w:line="240" w:lineRule="auto"/>
        <w:ind w:left="0" w:hanging="2"/>
      </w:pPr>
      <w:r>
        <w:t xml:space="preserve">Магістр з </w:t>
      </w:r>
      <w:r>
        <w:rPr>
          <w:u w:val="single"/>
        </w:rPr>
        <w:t>Будівництво та цивільна інженерія</w:t>
      </w:r>
      <w:r>
        <w:t xml:space="preserve"> </w:t>
      </w:r>
    </w:p>
    <w:p w:rsidR="008668ED" w:rsidRDefault="00C672F9">
      <w:pPr>
        <w:spacing w:line="240" w:lineRule="auto"/>
        <w:ind w:left="0" w:hanging="2"/>
      </w:pPr>
      <w:r>
        <w:t xml:space="preserve">за спеціалізацією </w:t>
      </w:r>
      <w:r>
        <w:rPr>
          <w:u w:val="single"/>
        </w:rPr>
        <w:t>Промислове та цивільне будівництво</w:t>
      </w:r>
    </w:p>
    <w:p w:rsidR="008668ED" w:rsidRDefault="00C672F9">
      <w:pPr>
        <w:spacing w:line="240" w:lineRule="auto"/>
        <w:ind w:left="0" w:hanging="2"/>
      </w:pPr>
      <w:r>
        <w:t>Атестація здійснюється відкрито і публічно.</w:t>
      </w:r>
    </w:p>
    <w:p w:rsidR="008668ED" w:rsidRDefault="008668ED">
      <w:pPr>
        <w:spacing w:line="240" w:lineRule="auto"/>
        <w:ind w:left="0" w:hanging="2"/>
      </w:pPr>
    </w:p>
    <w:p w:rsidR="008668ED" w:rsidRDefault="00C672F9">
      <w:pPr>
        <w:spacing w:line="240" w:lineRule="auto"/>
        <w:ind w:left="0" w:hanging="2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4. Матриця відповідності програмних </w:t>
      </w:r>
      <w:proofErr w:type="spellStart"/>
      <w:r>
        <w:rPr>
          <w:b/>
          <w:sz w:val="23"/>
          <w:szCs w:val="23"/>
        </w:rPr>
        <w:t>компетентностей</w:t>
      </w:r>
      <w:proofErr w:type="spellEnd"/>
    </w:p>
    <w:p w:rsidR="008668ED" w:rsidRDefault="00C672F9">
      <w:pPr>
        <w:spacing w:line="240" w:lineRule="auto"/>
        <w:ind w:left="0" w:hanging="2"/>
        <w:jc w:val="center"/>
        <w:rPr>
          <w:sz w:val="23"/>
          <w:szCs w:val="23"/>
        </w:rPr>
      </w:pPr>
      <w:r>
        <w:rPr>
          <w:b/>
          <w:sz w:val="23"/>
          <w:szCs w:val="23"/>
        </w:rPr>
        <w:t>компонентам освітньої програми</w:t>
      </w:r>
    </w:p>
    <w:p w:rsidR="008668ED" w:rsidRDefault="008668ED">
      <w:pPr>
        <w:spacing w:line="240" w:lineRule="auto"/>
        <w:ind w:left="0" w:hanging="2"/>
        <w:jc w:val="center"/>
        <w:rPr>
          <w:sz w:val="23"/>
          <w:szCs w:val="23"/>
        </w:rPr>
      </w:pPr>
    </w:p>
    <w:tbl>
      <w:tblPr>
        <w:tblStyle w:val="afa"/>
        <w:tblW w:w="102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8668ED">
        <w:trPr>
          <w:trHeight w:val="417"/>
          <w:jc w:val="center"/>
        </w:trPr>
        <w:tc>
          <w:tcPr>
            <w:tcW w:w="1491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ОК1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ОК2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ОК3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ОК4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ОК5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ОК6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ОК7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ОК8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ОК9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ОК10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ОК11</w:t>
            </w:r>
          </w:p>
        </w:tc>
      </w:tr>
      <w:tr w:rsidR="008668ED">
        <w:trPr>
          <w:jc w:val="center"/>
        </w:trPr>
        <w:tc>
          <w:tcPr>
            <w:tcW w:w="1491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Інтегральна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8668ED">
        <w:trPr>
          <w:jc w:val="center"/>
        </w:trPr>
        <w:tc>
          <w:tcPr>
            <w:tcW w:w="1491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ЗК01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8668ED">
        <w:trPr>
          <w:jc w:val="center"/>
        </w:trPr>
        <w:tc>
          <w:tcPr>
            <w:tcW w:w="1491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ЗК02</w:t>
            </w: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8668ED">
        <w:trPr>
          <w:jc w:val="center"/>
        </w:trPr>
        <w:tc>
          <w:tcPr>
            <w:tcW w:w="1491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ЗК03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8668ED">
        <w:trPr>
          <w:jc w:val="center"/>
        </w:trPr>
        <w:tc>
          <w:tcPr>
            <w:tcW w:w="1491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ЗК04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8668ED">
        <w:trPr>
          <w:jc w:val="center"/>
        </w:trPr>
        <w:tc>
          <w:tcPr>
            <w:tcW w:w="1491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ЗК05</w:t>
            </w: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8668ED">
        <w:trPr>
          <w:trHeight w:val="70"/>
          <w:jc w:val="center"/>
        </w:trPr>
        <w:tc>
          <w:tcPr>
            <w:tcW w:w="1491" w:type="dxa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ЗК06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8668ED">
        <w:trPr>
          <w:trHeight w:val="70"/>
          <w:jc w:val="center"/>
        </w:trPr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СК01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8668ED">
        <w:trPr>
          <w:trHeight w:val="285"/>
          <w:jc w:val="center"/>
        </w:trPr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СК02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8668ED">
        <w:trPr>
          <w:trHeight w:val="255"/>
          <w:jc w:val="center"/>
        </w:trPr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СК03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8668ED">
        <w:trPr>
          <w:trHeight w:val="225"/>
          <w:jc w:val="center"/>
        </w:trPr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СК04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</w:tr>
      <w:tr w:rsidR="008668ED">
        <w:trPr>
          <w:trHeight w:val="288"/>
          <w:jc w:val="center"/>
        </w:trPr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СК05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8668ED">
        <w:trPr>
          <w:trHeight w:val="165"/>
          <w:jc w:val="center"/>
        </w:trPr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СК06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8668ED">
        <w:trPr>
          <w:trHeight w:val="195"/>
          <w:jc w:val="center"/>
        </w:trPr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СК07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8668ED">
        <w:trPr>
          <w:trHeight w:val="135"/>
          <w:jc w:val="center"/>
        </w:trPr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СК08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8668ED">
        <w:trPr>
          <w:trHeight w:val="135"/>
          <w:jc w:val="center"/>
        </w:trPr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СК09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8668ED">
        <w:trPr>
          <w:trHeight w:val="115"/>
          <w:jc w:val="center"/>
        </w:trPr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СК10</w:t>
            </w:r>
          </w:p>
        </w:tc>
        <w:tc>
          <w:tcPr>
            <w:tcW w:w="794" w:type="dxa"/>
            <w:tcBorders>
              <w:top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</w:tbl>
    <w:p w:rsidR="008668ED" w:rsidRDefault="008668ED">
      <w:pPr>
        <w:spacing w:line="240" w:lineRule="auto"/>
        <w:ind w:left="0" w:hanging="2"/>
        <w:jc w:val="center"/>
        <w:rPr>
          <w:sz w:val="23"/>
          <w:szCs w:val="23"/>
        </w:rPr>
      </w:pPr>
    </w:p>
    <w:p w:rsidR="008668ED" w:rsidRDefault="00C672F9">
      <w:pPr>
        <w:spacing w:line="240" w:lineRule="auto"/>
        <w:ind w:left="0" w:hanging="2"/>
        <w:jc w:val="center"/>
        <w:rPr>
          <w:sz w:val="23"/>
          <w:szCs w:val="23"/>
        </w:rPr>
      </w:pPr>
      <w:r>
        <w:rPr>
          <w:b/>
          <w:sz w:val="23"/>
          <w:szCs w:val="23"/>
        </w:rPr>
        <w:t>5. Матриця забезпечення програмних результатів навчання (ПРН)</w:t>
      </w:r>
    </w:p>
    <w:p w:rsidR="008668ED" w:rsidRDefault="00C672F9">
      <w:pPr>
        <w:spacing w:line="240" w:lineRule="auto"/>
        <w:ind w:left="0" w:hanging="2"/>
        <w:jc w:val="center"/>
        <w:rPr>
          <w:sz w:val="23"/>
          <w:szCs w:val="23"/>
        </w:rPr>
      </w:pPr>
      <w:r>
        <w:rPr>
          <w:b/>
          <w:sz w:val="23"/>
          <w:szCs w:val="23"/>
        </w:rPr>
        <w:t>відповідними компонентами освітньої програми</w:t>
      </w:r>
    </w:p>
    <w:p w:rsidR="008668ED" w:rsidRDefault="008668ED">
      <w:pPr>
        <w:spacing w:line="240" w:lineRule="auto"/>
        <w:ind w:left="0" w:hanging="2"/>
        <w:jc w:val="center"/>
        <w:rPr>
          <w:sz w:val="23"/>
          <w:szCs w:val="23"/>
        </w:rPr>
      </w:pPr>
    </w:p>
    <w:tbl>
      <w:tblPr>
        <w:tblStyle w:val="afb"/>
        <w:tblW w:w="102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8668ED">
        <w:trPr>
          <w:trHeight w:val="435"/>
          <w:jc w:val="center"/>
        </w:trPr>
        <w:tc>
          <w:tcPr>
            <w:tcW w:w="1491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ОК1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ОК2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ОК3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ОК4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ОК5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ОК6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ОК7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ОК8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ОК9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ОК10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ОК11</w:t>
            </w:r>
          </w:p>
        </w:tc>
      </w:tr>
      <w:tr w:rsidR="008668ED">
        <w:trPr>
          <w:jc w:val="center"/>
        </w:trPr>
        <w:tc>
          <w:tcPr>
            <w:tcW w:w="1491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РН01</w:t>
            </w: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8668ED">
        <w:trPr>
          <w:jc w:val="center"/>
        </w:trPr>
        <w:tc>
          <w:tcPr>
            <w:tcW w:w="1491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РН02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8668ED">
        <w:trPr>
          <w:jc w:val="center"/>
        </w:trPr>
        <w:tc>
          <w:tcPr>
            <w:tcW w:w="1491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РН03</w:t>
            </w: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8668ED">
        <w:trPr>
          <w:jc w:val="center"/>
        </w:trPr>
        <w:tc>
          <w:tcPr>
            <w:tcW w:w="1491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РН04</w:t>
            </w: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8668ED">
        <w:trPr>
          <w:jc w:val="center"/>
        </w:trPr>
        <w:tc>
          <w:tcPr>
            <w:tcW w:w="1491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РН05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8668ED">
        <w:trPr>
          <w:jc w:val="center"/>
        </w:trPr>
        <w:tc>
          <w:tcPr>
            <w:tcW w:w="1491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РН06</w:t>
            </w: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8668ED">
        <w:trPr>
          <w:trHeight w:val="70"/>
          <w:jc w:val="center"/>
        </w:trPr>
        <w:tc>
          <w:tcPr>
            <w:tcW w:w="1491" w:type="dxa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РН07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</w:tr>
      <w:tr w:rsidR="008668ED">
        <w:trPr>
          <w:trHeight w:val="70"/>
          <w:jc w:val="center"/>
        </w:trPr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РН08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</w:tr>
      <w:tr w:rsidR="008668ED">
        <w:trPr>
          <w:trHeight w:val="285"/>
          <w:jc w:val="center"/>
        </w:trPr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РН09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8668ED">
        <w:trPr>
          <w:trHeight w:val="255"/>
          <w:jc w:val="center"/>
        </w:trPr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РН10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8668ED">
        <w:trPr>
          <w:trHeight w:val="225"/>
          <w:jc w:val="center"/>
        </w:trPr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РН11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8668ED">
        <w:trPr>
          <w:trHeight w:val="288"/>
          <w:jc w:val="center"/>
        </w:trPr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РН12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8668ED">
        <w:trPr>
          <w:trHeight w:val="165"/>
          <w:jc w:val="center"/>
        </w:trPr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РН13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8668ED">
        <w:trPr>
          <w:trHeight w:val="195"/>
          <w:jc w:val="center"/>
        </w:trPr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РН14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8668ED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 w:rsidR="008668ED" w:rsidRDefault="00C672F9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</w:tbl>
    <w:p w:rsidR="008668ED" w:rsidRDefault="008668ED">
      <w:pPr>
        <w:spacing w:line="240" w:lineRule="auto"/>
        <w:ind w:left="0" w:hanging="2"/>
        <w:jc w:val="center"/>
        <w:rPr>
          <w:sz w:val="23"/>
          <w:szCs w:val="23"/>
        </w:rPr>
      </w:pPr>
    </w:p>
    <w:p w:rsidR="008668ED" w:rsidRDefault="00C672F9">
      <w:pPr>
        <w:spacing w:line="240" w:lineRule="auto"/>
        <w:ind w:left="0" w:hanging="2"/>
        <w:rPr>
          <w:sz w:val="23"/>
          <w:szCs w:val="23"/>
        </w:rPr>
      </w:pPr>
      <w:r>
        <w:br w:type="page"/>
      </w:r>
    </w:p>
    <w:p w:rsidR="008668ED" w:rsidRDefault="00C672F9">
      <w:pP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 ПЕРЕЛІК ДОКОМЕНТІВ, НА ЯКИХ БАЗУЄТЬСЯ ОСВІТНЯ ПРОГРАМА</w:t>
      </w:r>
    </w:p>
    <w:p w:rsidR="008668ED" w:rsidRDefault="008668ED">
      <w:pPr>
        <w:spacing w:line="240" w:lineRule="auto"/>
        <w:ind w:left="1" w:hanging="3"/>
        <w:jc w:val="both"/>
        <w:rPr>
          <w:sz w:val="28"/>
          <w:szCs w:val="28"/>
        </w:rPr>
      </w:pPr>
    </w:p>
    <w:tbl>
      <w:tblPr>
        <w:tblStyle w:val="afc"/>
        <w:tblW w:w="10482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2"/>
      </w:tblGrid>
      <w:tr w:rsidR="008668ED">
        <w:tc>
          <w:tcPr>
            <w:tcW w:w="10482" w:type="dxa"/>
          </w:tcPr>
          <w:p w:rsidR="008668ED" w:rsidRDefault="008668ED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  <w:p w:rsidR="008668ED" w:rsidRDefault="00C672F9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Освітньо-професійна програма розроблена на основі наступних нормативних документів:</w:t>
            </w:r>
          </w:p>
          <w:p w:rsidR="008668ED" w:rsidRDefault="00C672F9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 вищу освіту : Закон України № 1556-VIIвід 01.07.2014 р.</w:t>
            </w:r>
          </w:p>
          <w:p w:rsidR="008668ED" w:rsidRDefault="00C672F9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URL: </w:t>
            </w:r>
            <w:hyperlink r:id="rId8" w:anchor="Text">
              <w:r>
                <w:rPr>
                  <w:color w:val="0000FF"/>
                  <w:sz w:val="28"/>
                  <w:szCs w:val="28"/>
                  <w:u w:val="single"/>
                </w:rPr>
                <w:t>https://zakon.rada.gov.ua/laws/show/1556-18#Text</w:t>
              </w:r>
            </w:hyperlink>
            <w:r>
              <w:rPr>
                <w:sz w:val="28"/>
                <w:szCs w:val="28"/>
              </w:rPr>
              <w:t>.</w:t>
            </w:r>
          </w:p>
          <w:p w:rsidR="008668ED" w:rsidRDefault="00C672F9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Національна рамка кваліфікацій : затверджена постановою Кабінету міністрів України від 23 листопада 2011 р. № 1341.</w:t>
            </w:r>
          </w:p>
          <w:p w:rsidR="008668ED" w:rsidRDefault="00C672F9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URL: </w:t>
            </w:r>
            <w:hyperlink r:id="rId9" w:anchor="n12">
              <w:r>
                <w:rPr>
                  <w:color w:val="0000FF"/>
                  <w:sz w:val="28"/>
                  <w:szCs w:val="28"/>
                  <w:u w:val="single"/>
                </w:rPr>
                <w:t>https://zakon.rada.gov.ua/laws/show/1341-2011-%D0%BF/paran12#n12</w:t>
              </w:r>
            </w:hyperlink>
            <w:r>
              <w:rPr>
                <w:sz w:val="28"/>
                <w:szCs w:val="28"/>
              </w:rPr>
              <w:t>.</w:t>
            </w:r>
          </w:p>
          <w:p w:rsidR="008668ED" w:rsidRDefault="00C672F9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Національний класифікатор України: Класифікатор професій : ДК 003:2010 (На зміну ДК 003:2005); Чинний  від 01.11.2010 р.</w:t>
            </w:r>
          </w:p>
          <w:p w:rsidR="008668ED" w:rsidRDefault="00C672F9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URL: </w:t>
            </w:r>
            <w:hyperlink r:id="rId10" w:anchor="Text">
              <w:r>
                <w:rPr>
                  <w:color w:val="0000FF"/>
                  <w:sz w:val="28"/>
                  <w:szCs w:val="28"/>
                  <w:u w:val="single"/>
                </w:rPr>
                <w:t>https://zakon.rada.gov.ua/rada/show/va327609-10#Text</w:t>
              </w:r>
            </w:hyperlink>
            <w:r>
              <w:rPr>
                <w:sz w:val="28"/>
                <w:szCs w:val="28"/>
              </w:rPr>
              <w:t>.</w:t>
            </w:r>
          </w:p>
          <w:p w:rsidR="008668ED" w:rsidRDefault="00C672F9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Методичні рекомендації щодо розроблення стандартів вищої освіти: Наказ </w:t>
            </w:r>
            <w:proofErr w:type="spellStart"/>
            <w:r>
              <w:rPr>
                <w:sz w:val="28"/>
                <w:szCs w:val="28"/>
              </w:rPr>
              <w:t>Міністерстваосвіти</w:t>
            </w:r>
            <w:proofErr w:type="spellEnd"/>
            <w:r>
              <w:rPr>
                <w:sz w:val="28"/>
                <w:szCs w:val="28"/>
              </w:rPr>
              <w:t xml:space="preserve"> і науки України від «01» червня2017 р. № 600 (у редакції наказу Міністерства освіти і науки України від «21»грудня 2017 р. № 1648). URL: </w:t>
            </w:r>
            <w:hyperlink r:id="rId11">
              <w:r>
                <w:rPr>
                  <w:color w:val="0000FF"/>
                  <w:sz w:val="28"/>
                  <w:szCs w:val="28"/>
                  <w:u w:val="single"/>
                </w:rPr>
                <w:t>https://mon.gov.ua/storage/app/media/vishcha-osvita/rekomendatsii-1648.pdf</w:t>
              </w:r>
            </w:hyperlink>
            <w:r>
              <w:rPr>
                <w:sz w:val="28"/>
                <w:szCs w:val="28"/>
              </w:rPr>
              <w:t>.</w:t>
            </w:r>
          </w:p>
          <w:p w:rsidR="008668ED" w:rsidRDefault="00C672F9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Стандарт вищої освіти за спеціальністю 131 «Прикладна механіка» галузі знань 13 «Механічна інженерія» для першого (бакалаврського) рівня вищої освіти: Наказ Міністерства освіти і науки України від 20.06.19 р. № 865.</w:t>
            </w:r>
          </w:p>
          <w:p w:rsidR="008668ED" w:rsidRDefault="00C672F9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URL: </w:t>
            </w:r>
            <w:hyperlink r:id="rId12">
              <w:r>
                <w:rPr>
                  <w:color w:val="0000FF"/>
                  <w:sz w:val="28"/>
                  <w:szCs w:val="28"/>
                  <w:u w:val="single"/>
                </w:rPr>
                <w:t>https://mon.gov.ua/storage/app/media/vishcha-osvita/zatverdzeni%20standarty/2019/06/25/131-prikladna-mekhanika-bakalavr.pdf</w:t>
              </w:r>
            </w:hyperlink>
            <w:r>
              <w:rPr>
                <w:sz w:val="28"/>
                <w:szCs w:val="28"/>
              </w:rPr>
              <w:t xml:space="preserve"> .</w:t>
            </w:r>
          </w:p>
          <w:p w:rsidR="008668ED" w:rsidRDefault="00C672F9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Перелік галузей знань і спеціальностей, за якими здійснюється підготовка здобувачів вищої освіти: Постанова Кабінету Міністрів </w:t>
            </w:r>
            <w:proofErr w:type="spellStart"/>
            <w:r>
              <w:rPr>
                <w:sz w:val="28"/>
                <w:szCs w:val="28"/>
              </w:rPr>
              <w:t>Українивід</w:t>
            </w:r>
            <w:proofErr w:type="spellEnd"/>
            <w:r>
              <w:rPr>
                <w:sz w:val="28"/>
                <w:szCs w:val="28"/>
              </w:rPr>
              <w:t xml:space="preserve"> 29 квітня 2015 р. № 266. URL: </w:t>
            </w:r>
            <w:hyperlink r:id="rId13">
              <w:r>
                <w:rPr>
                  <w:color w:val="0000FF"/>
                  <w:sz w:val="28"/>
                  <w:szCs w:val="28"/>
                  <w:u w:val="single"/>
                </w:rPr>
                <w:t>https://www.kmu.gov.ua/npas/248149695</w:t>
              </w:r>
            </w:hyperlink>
            <w:r>
              <w:rPr>
                <w:sz w:val="28"/>
                <w:szCs w:val="28"/>
              </w:rPr>
              <w:t>.</w:t>
            </w:r>
          </w:p>
          <w:p w:rsidR="008668ED" w:rsidRDefault="00C672F9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Закон «Про освіту» - </w:t>
            </w:r>
            <w:hyperlink r:id="rId14">
              <w:r>
                <w:rPr>
                  <w:color w:val="0000FF"/>
                  <w:sz w:val="28"/>
                  <w:szCs w:val="28"/>
                  <w:u w:val="single"/>
                </w:rPr>
                <w:t>http://zakon5.rada.gov.ua/laws/show/2145-19</w:t>
              </w:r>
            </w:hyperlink>
            <w:r>
              <w:rPr>
                <w:sz w:val="28"/>
                <w:szCs w:val="28"/>
              </w:rPr>
              <w:t>.</w:t>
            </w:r>
          </w:p>
          <w:p w:rsidR="008668ED" w:rsidRDefault="00C672F9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TUNING (для ознайомлення зі спеціальними (фаховими) </w:t>
            </w:r>
            <w:proofErr w:type="spellStart"/>
            <w:r>
              <w:rPr>
                <w:sz w:val="28"/>
                <w:szCs w:val="28"/>
              </w:rPr>
              <w:t>компетентностями</w:t>
            </w:r>
            <w:proofErr w:type="spellEnd"/>
            <w:r>
              <w:rPr>
                <w:sz w:val="28"/>
                <w:szCs w:val="28"/>
              </w:rPr>
              <w:t xml:space="preserve"> та прикладами стандартів – </w:t>
            </w:r>
            <w:hyperlink r:id="rId15">
              <w:r>
                <w:rPr>
                  <w:color w:val="0000FF"/>
                  <w:sz w:val="28"/>
                  <w:szCs w:val="28"/>
                  <w:u w:val="single"/>
                </w:rPr>
                <w:t>http://www.unideusto.org/tuningeu/</w:t>
              </w:r>
            </w:hyperlink>
            <w:r>
              <w:rPr>
                <w:sz w:val="28"/>
                <w:szCs w:val="28"/>
              </w:rPr>
              <w:t>.</w:t>
            </w:r>
          </w:p>
          <w:p w:rsidR="008668ED" w:rsidRDefault="00C672F9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Національний глосарій 2014 – </w:t>
            </w:r>
            <w:hyperlink r:id="rId16">
              <w:r>
                <w:rPr>
                  <w:color w:val="0000FF"/>
                  <w:sz w:val="28"/>
                  <w:szCs w:val="28"/>
                  <w:u w:val="single"/>
                </w:rPr>
                <w:t>http://ihed.org.ua/images/biblioteka/glossariy_Visha_osvita_2014_tempus-office.pdf</w:t>
              </w:r>
            </w:hyperlink>
            <w:r>
              <w:rPr>
                <w:sz w:val="28"/>
                <w:szCs w:val="28"/>
              </w:rPr>
              <w:t>.</w:t>
            </w:r>
          </w:p>
          <w:p w:rsidR="008668ED" w:rsidRDefault="00C672F9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proofErr w:type="spellStart"/>
            <w:r>
              <w:rPr>
                <w:sz w:val="28"/>
                <w:szCs w:val="28"/>
              </w:rPr>
              <w:t>Рашкевич</w:t>
            </w:r>
            <w:proofErr w:type="spellEnd"/>
            <w:r>
              <w:rPr>
                <w:sz w:val="28"/>
                <w:szCs w:val="28"/>
              </w:rPr>
              <w:t xml:space="preserve"> Ю.М. Болонський процес та нова парадигма вищої освіти – </w:t>
            </w:r>
            <w:hyperlink r:id="rId17">
              <w:r>
                <w:rPr>
                  <w:color w:val="0000FF"/>
                  <w:sz w:val="28"/>
                  <w:szCs w:val="28"/>
                  <w:u w:val="single"/>
                </w:rPr>
                <w:t>file:///D:/Users/Dell/Downloads/BolonskyiProcessNewParadigmHE.pdf</w:t>
              </w:r>
            </w:hyperlink>
            <w:r>
              <w:rPr>
                <w:sz w:val="28"/>
                <w:szCs w:val="28"/>
              </w:rPr>
              <w:t>.</w:t>
            </w:r>
          </w:p>
          <w:p w:rsidR="008668ED" w:rsidRDefault="00C672F9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bookmarkStart w:id="2" w:name="_heading=h.30j0zll" w:colFirst="0" w:colLast="0"/>
            <w:bookmarkEnd w:id="2"/>
            <w:r>
              <w:rPr>
                <w:sz w:val="28"/>
                <w:szCs w:val="28"/>
              </w:rPr>
              <w:t xml:space="preserve">11. Розвиток системи забезпечення якості вищої освіти в Україні: інформаційно-аналітичний огляд – </w:t>
            </w:r>
            <w:hyperlink r:id="rId18">
              <w:r>
                <w:rPr>
                  <w:color w:val="0000FF"/>
                  <w:sz w:val="28"/>
                  <w:szCs w:val="28"/>
                  <w:u w:val="single"/>
                </w:rPr>
                <w:t>http://ihed.org.ua/images/biblioteka/Rozvitok_sisitemi_zabesp_yakosti_VO_UA_2015.pdf</w:t>
              </w:r>
            </w:hyperlink>
            <w:r>
              <w:rPr>
                <w:sz w:val="28"/>
                <w:szCs w:val="28"/>
              </w:rPr>
              <w:t>.</w:t>
            </w:r>
          </w:p>
          <w:p w:rsidR="008668ED" w:rsidRDefault="008668ED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</w:tr>
    </w:tbl>
    <w:p w:rsidR="008668ED" w:rsidRDefault="008668ED">
      <w:pPr>
        <w:spacing w:line="240" w:lineRule="auto"/>
        <w:ind w:left="0" w:hanging="2"/>
      </w:pPr>
    </w:p>
    <w:sectPr w:rsidR="008668ED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1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01C9"/>
    <w:multiLevelType w:val="hybridMultilevel"/>
    <w:tmpl w:val="BA2EF8BE"/>
    <w:lvl w:ilvl="0" w:tplc="FBB0159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668ED"/>
    <w:rsid w:val="003002E1"/>
    <w:rsid w:val="00680C3B"/>
    <w:rsid w:val="006D0227"/>
    <w:rsid w:val="008668ED"/>
    <w:rsid w:val="008E2848"/>
    <w:rsid w:val="00B27F2A"/>
    <w:rsid w:val="00C01B9D"/>
    <w:rsid w:val="00C13065"/>
    <w:rsid w:val="00C6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a4">
    <w:name w:val="annotation reference"/>
    <w:basedOn w:val="a0"/>
    <w:rPr>
      <w:rFonts w:ascii="Times New Roman" w:hAnsi="Times New Roman" w:cs="Times New Roman"/>
      <w:w w:val="100"/>
      <w:position w:val="-1"/>
      <w:sz w:val="16"/>
      <w:szCs w:val="16"/>
      <w:highlight w:val="none"/>
      <w:effect w:val="none"/>
      <w:vertAlign w:val="baseline"/>
      <w:cs w:val="0"/>
      <w:em w:val="none"/>
    </w:rPr>
  </w:style>
  <w:style w:type="paragraph" w:styleId="a5">
    <w:name w:val="annotation text"/>
    <w:basedOn w:val="a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CommentTextChar">
    <w:name w:val="Comment Text Char"/>
    <w:basedOn w:val="a0"/>
    <w:rPr>
      <w:rFonts w:ascii="Calibri" w:hAnsi="Calibri" w:cs="Calibri"/>
      <w:w w:val="100"/>
      <w:position w:val="-1"/>
      <w:highlight w:val="none"/>
      <w:effect w:val="none"/>
      <w:vertAlign w:val="baseline"/>
      <w:cs w:val="0"/>
      <w:em w:val="none"/>
      <w:lang w:val="uk-UA" w:eastAsia="en-US" w:bidi="ar-S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styleId="a7">
    <w:name w:val="Hyperlink"/>
    <w:basedOn w:val="a0"/>
    <w:rPr>
      <w:rFonts w:ascii="Times New Roman" w:hAnsi="Times New Roman" w:cs="Times New Roman"/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9F5CA7"/>
    <w:rPr>
      <w:shd w:val="clear" w:color="auto" w:fill="FFFFFF"/>
    </w:rPr>
  </w:style>
  <w:style w:type="character" w:customStyle="1" w:styleId="210pt">
    <w:name w:val="Основной текст (2) + 10 pt;Полужирный"/>
    <w:basedOn w:val="20"/>
    <w:rsid w:val="009F5CA7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customStyle="1" w:styleId="21">
    <w:name w:val="Основной текст (2)"/>
    <w:basedOn w:val="a"/>
    <w:link w:val="20"/>
    <w:rsid w:val="009F5CA7"/>
    <w:pPr>
      <w:shd w:val="clear" w:color="auto" w:fill="FFFFFF"/>
      <w:suppressAutoHyphens w:val="0"/>
      <w:spacing w:line="278" w:lineRule="exact"/>
      <w:ind w:leftChars="0" w:left="0" w:firstLineChars="0" w:hanging="320"/>
      <w:jc w:val="both"/>
      <w:textDirection w:val="lrTb"/>
      <w:textAlignment w:val="auto"/>
      <w:outlineLvl w:val="9"/>
    </w:pPr>
    <w:rPr>
      <w:position w:val="0"/>
      <w:sz w:val="20"/>
      <w:szCs w:val="20"/>
    </w:r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8E2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a4">
    <w:name w:val="annotation reference"/>
    <w:basedOn w:val="a0"/>
    <w:rPr>
      <w:rFonts w:ascii="Times New Roman" w:hAnsi="Times New Roman" w:cs="Times New Roman"/>
      <w:w w:val="100"/>
      <w:position w:val="-1"/>
      <w:sz w:val="16"/>
      <w:szCs w:val="16"/>
      <w:highlight w:val="none"/>
      <w:effect w:val="none"/>
      <w:vertAlign w:val="baseline"/>
      <w:cs w:val="0"/>
      <w:em w:val="none"/>
    </w:rPr>
  </w:style>
  <w:style w:type="paragraph" w:styleId="a5">
    <w:name w:val="annotation text"/>
    <w:basedOn w:val="a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CommentTextChar">
    <w:name w:val="Comment Text Char"/>
    <w:basedOn w:val="a0"/>
    <w:rPr>
      <w:rFonts w:ascii="Calibri" w:hAnsi="Calibri" w:cs="Calibri"/>
      <w:w w:val="100"/>
      <w:position w:val="-1"/>
      <w:highlight w:val="none"/>
      <w:effect w:val="none"/>
      <w:vertAlign w:val="baseline"/>
      <w:cs w:val="0"/>
      <w:em w:val="none"/>
      <w:lang w:val="uk-UA" w:eastAsia="en-US" w:bidi="ar-S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styleId="a7">
    <w:name w:val="Hyperlink"/>
    <w:basedOn w:val="a0"/>
    <w:rPr>
      <w:rFonts w:ascii="Times New Roman" w:hAnsi="Times New Roman" w:cs="Times New Roman"/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9F5CA7"/>
    <w:rPr>
      <w:shd w:val="clear" w:color="auto" w:fill="FFFFFF"/>
    </w:rPr>
  </w:style>
  <w:style w:type="character" w:customStyle="1" w:styleId="210pt">
    <w:name w:val="Основной текст (2) + 10 pt;Полужирный"/>
    <w:basedOn w:val="20"/>
    <w:rsid w:val="009F5CA7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customStyle="1" w:styleId="21">
    <w:name w:val="Основной текст (2)"/>
    <w:basedOn w:val="a"/>
    <w:link w:val="20"/>
    <w:rsid w:val="009F5CA7"/>
    <w:pPr>
      <w:shd w:val="clear" w:color="auto" w:fill="FFFFFF"/>
      <w:suppressAutoHyphens w:val="0"/>
      <w:spacing w:line="278" w:lineRule="exact"/>
      <w:ind w:leftChars="0" w:left="0" w:firstLineChars="0" w:hanging="320"/>
      <w:jc w:val="both"/>
      <w:textDirection w:val="lrTb"/>
      <w:textAlignment w:val="auto"/>
      <w:outlineLvl w:val="9"/>
    </w:pPr>
    <w:rPr>
      <w:position w:val="0"/>
      <w:sz w:val="20"/>
      <w:szCs w:val="20"/>
    </w:r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8E2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56-18" TargetMode="External"/><Relationship Id="rId13" Type="http://schemas.openxmlformats.org/officeDocument/2006/relationships/hyperlink" Target="https://www.kmu.gov.ua/npas/248149695" TargetMode="External"/><Relationship Id="rId18" Type="http://schemas.openxmlformats.org/officeDocument/2006/relationships/hyperlink" Target="http://ihed.org.ua/images/biblioteka/Rozvitok_sisitemi_zabesp_yakosti_VO_UA_2015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s://mon.gov.ua/storage/app/media/vishcha-osvita/zatverdzeni%20standarty/2019/06/25/131-prikladna-mekhanika-bakalavr.pdf" TargetMode="Externa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hed.org.ua/images/biblioteka/glossariy_Visha_osvita_2014_tempus-offic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n.gov.ua/storage/app/media/vishcha-osvita/rekomendatsii-1648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nideusto.org/tuningeu/" TargetMode="External"/><Relationship Id="rId10" Type="http://schemas.openxmlformats.org/officeDocument/2006/relationships/hyperlink" Target="https://zakon.rada.gov.ua/rada/show/va327609-1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1341-2011-%D0%BF/paran12" TargetMode="External"/><Relationship Id="rId14" Type="http://schemas.openxmlformats.org/officeDocument/2006/relationships/hyperlink" Target="http://zakon5.rada.gov.ua/laws/show/2145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XB+AHZOaFyv00vb32x+CSr1NJw==">AMUW2mW/97ht4TY2THPpEwpYheLIvyFOawqtSWN2MBdkNDIsAEIUpfffxRRzHHKvdSMJUDJcc7gS2BlAveBRVDbJz6d/J1R1ynpAtn5SLS1ie65UkDP0MW/TuREGssNZaVDeXCI9084+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3534</Words>
  <Characters>20145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2021-09-06T05:56:00Z</dcterms:created>
  <dcterms:modified xsi:type="dcterms:W3CDTF">2022-07-27T13:08:00Z</dcterms:modified>
</cp:coreProperties>
</file>